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5BA95EF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5268">
        <w:rPr>
          <w:bCs/>
          <w:noProof w:val="0"/>
          <w:sz w:val="24"/>
          <w:szCs w:val="24"/>
        </w:rPr>
        <w:t>4</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6B18BF">
        <w:rPr>
          <w:bCs/>
          <w:noProof w:val="0"/>
          <w:sz w:val="24"/>
          <w:szCs w:val="24"/>
        </w:rPr>
        <w:t>5416</w:t>
      </w:r>
    </w:p>
    <w:p w14:paraId="11776FA6" w14:textId="5F913B8C"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6E1057" w:rsidRPr="006E1057">
        <w:rPr>
          <w:bCs/>
          <w:sz w:val="24"/>
          <w:szCs w:val="24"/>
          <w:lang w:eastAsia="zh-CN"/>
        </w:rPr>
        <w:t>1</w:t>
      </w:r>
      <w:r w:rsidR="00065268">
        <w:rPr>
          <w:bCs/>
          <w:sz w:val="24"/>
          <w:szCs w:val="24"/>
          <w:lang w:eastAsia="zh-CN"/>
        </w:rPr>
        <w:t>9</w:t>
      </w:r>
      <w:r w:rsidR="006E1057" w:rsidRPr="006E1057">
        <w:rPr>
          <w:bCs/>
          <w:sz w:val="24"/>
          <w:szCs w:val="24"/>
          <w:lang w:eastAsia="zh-CN"/>
        </w:rPr>
        <w:t xml:space="preserve"> – 2</w:t>
      </w:r>
      <w:r w:rsidR="00065268">
        <w:rPr>
          <w:bCs/>
          <w:sz w:val="24"/>
          <w:szCs w:val="24"/>
          <w:lang w:eastAsia="zh-CN"/>
        </w:rPr>
        <w:t>7</w:t>
      </w:r>
      <w:r w:rsidR="006E1057" w:rsidRPr="006E1057">
        <w:rPr>
          <w:bCs/>
          <w:sz w:val="24"/>
          <w:szCs w:val="24"/>
          <w:lang w:eastAsia="zh-CN"/>
        </w:rPr>
        <w:t xml:space="preserve"> </w:t>
      </w:r>
      <w:r w:rsidR="00065268">
        <w:rPr>
          <w:bCs/>
          <w:sz w:val="24"/>
          <w:szCs w:val="24"/>
          <w:lang w:eastAsia="zh-CN"/>
        </w:rPr>
        <w:t>May</w:t>
      </w:r>
      <w:r w:rsidR="006E1057" w:rsidRPr="006E1057">
        <w:rPr>
          <w:bCs/>
          <w:sz w:val="24"/>
          <w:szCs w:val="24"/>
          <w:lang w:eastAsia="zh-CN"/>
        </w:rPr>
        <w:t xml:space="preserve"> 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69E66C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B2675">
        <w:rPr>
          <w:rFonts w:cs="Arial"/>
          <w:b/>
          <w:bCs/>
          <w:sz w:val="24"/>
          <w:lang w:eastAsia="ja-JP"/>
        </w:rPr>
        <w:t>9</w:t>
      </w:r>
      <w:r>
        <w:rPr>
          <w:rFonts w:cs="Arial"/>
          <w:b/>
          <w:bCs/>
          <w:sz w:val="24"/>
          <w:lang w:eastAsia="ja-JP"/>
        </w:rPr>
        <w:t>.</w:t>
      </w:r>
      <w:r w:rsidR="009B2675">
        <w:rPr>
          <w:rFonts w:cs="Arial"/>
          <w:b/>
          <w:bCs/>
          <w:sz w:val="24"/>
          <w:lang w:eastAsia="ja-JP"/>
        </w:rPr>
        <w:t>2</w:t>
      </w:r>
      <w:r>
        <w:rPr>
          <w:rFonts w:cs="Arial"/>
          <w:b/>
          <w:bCs/>
          <w:sz w:val="24"/>
          <w:lang w:eastAsia="ja-JP"/>
        </w:rPr>
        <w:t>.</w:t>
      </w:r>
      <w:r w:rsidR="009B2675">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D70AD3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00725" w:rsidRPr="00300725">
        <w:rPr>
          <w:rFonts w:ascii="Arial" w:hAnsi="Arial" w:cs="Arial"/>
          <w:b/>
          <w:bCs/>
          <w:sz w:val="24"/>
        </w:rPr>
        <w:t>Discussion on open issues not covered by NR NTN</w:t>
      </w:r>
    </w:p>
    <w:p w14:paraId="1F147C23" w14:textId="254F57B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123CC" w:rsidRPr="006123CC">
        <w:rPr>
          <w:rFonts w:ascii="Arial" w:hAnsi="Arial" w:cs="Arial"/>
          <w:b/>
          <w:bCs/>
          <w:sz w:val="24"/>
        </w:rPr>
        <w:t xml:space="preserve">FS_LTE_NBIOT_eMTC_NTN </w:t>
      </w:r>
      <w:r>
        <w:rPr>
          <w:rFonts w:ascii="Arial" w:hAnsi="Arial" w:cs="Arial"/>
          <w:b/>
          <w:bCs/>
          <w:sz w:val="24"/>
        </w:rPr>
        <w:t xml:space="preserve">- Release </w:t>
      </w:r>
      <w:r w:rsidR="006123CC">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33BDBA7A" w:rsidR="007F2E08" w:rsidRDefault="00634C4F" w:rsidP="00634C4F">
      <w:pPr>
        <w:jc w:val="both"/>
      </w:pPr>
      <w:r w:rsidRPr="00705DE2">
        <w:t xml:space="preserve">In </w:t>
      </w:r>
      <w:r w:rsidR="004E1478">
        <w:t xml:space="preserve">the </w:t>
      </w:r>
      <w:r w:rsidRPr="00705DE2">
        <w:t>RAN</w:t>
      </w:r>
      <w:r>
        <w:t>P</w:t>
      </w:r>
      <w:r w:rsidRPr="00705DE2">
        <w:t>#91 meeting, there was some discussions on the minimum scope of IoT NTN SI</w:t>
      </w:r>
      <w:r>
        <w:t xml:space="preserve"> in Rel-17 as summarized in RP-210915</w:t>
      </w:r>
      <w:r w:rsidRPr="00705DE2">
        <w:t>.</w:t>
      </w:r>
      <w:r>
        <w:t xml:space="preserve"> </w:t>
      </w:r>
      <w:r w:rsidRPr="004C5D74">
        <w:t>The functionalities needed specifically for IoT over NTN that cannot be translated from the ongoing NR NTN WI is one key aspect to be prioritized.</w:t>
      </w:r>
      <w:r>
        <w:t xml:space="preserve"> In this contribution, we discuss </w:t>
      </w:r>
      <w:r w:rsidR="00A815CD">
        <w:t>this topic from RAN2 point of view.</w:t>
      </w:r>
    </w:p>
    <w:p w14:paraId="4F547731" w14:textId="0E887627" w:rsidR="00A209D6" w:rsidRPr="006E13D1" w:rsidRDefault="00A209D6" w:rsidP="00B7538C">
      <w:pPr>
        <w:pStyle w:val="Heading1"/>
      </w:pPr>
      <w:r w:rsidRPr="006E13D1">
        <w:t>2</w:t>
      </w:r>
      <w:r w:rsidRPr="006E13D1">
        <w:tab/>
      </w:r>
      <w:r w:rsidR="00D8467F">
        <w:t>Discussion</w:t>
      </w:r>
    </w:p>
    <w:p w14:paraId="5F01C058" w14:textId="739CBBA7" w:rsidR="00A209D6" w:rsidRDefault="00B7538C" w:rsidP="00A209D6">
      <w:pPr>
        <w:pStyle w:val="Heading2"/>
      </w:pPr>
      <w:r>
        <w:t>2</w:t>
      </w:r>
      <w:r w:rsidR="00A209D6" w:rsidRPr="006E13D1">
        <w:t>.1</w:t>
      </w:r>
      <w:r w:rsidR="00A209D6" w:rsidRPr="006E13D1">
        <w:tab/>
      </w:r>
      <w:r w:rsidR="00634C4F">
        <w:t>Enhancements</w:t>
      </w:r>
      <w:r w:rsidR="002C4C3A">
        <w:t xml:space="preserve"> on power saving in idle mode</w:t>
      </w:r>
    </w:p>
    <w:p w14:paraId="29E384FA" w14:textId="77777777" w:rsidR="007E3767" w:rsidRDefault="007E3767" w:rsidP="007E3767">
      <w:r>
        <w:t xml:space="preserve">In the RAN2-113bis-e meeting, RAN2 endorsed below point to include enhancements on power saving in idle mode as essential parts of Rel-17. </w:t>
      </w:r>
    </w:p>
    <w:p w14:paraId="18712318" w14:textId="77777777" w:rsidR="007E3767" w:rsidRDefault="007E3767" w:rsidP="007E3767">
      <w:pPr>
        <w:pStyle w:val="Agreement"/>
      </w:pPr>
      <w:r>
        <w:t xml:space="preserve">(22/25) There is significant interest for Power </w:t>
      </w:r>
      <w:r w:rsidRPr="00A35C63">
        <w:t xml:space="preserve">saving in </w:t>
      </w:r>
      <w:r>
        <w:t xml:space="preserve">idle mode for NTN IOT devices, e.g. there is significant interest for </w:t>
      </w:r>
      <w:r w:rsidRPr="001D7180">
        <w:t xml:space="preserve">enhancements to eDRX/PSM (discontinuous coverage) and to relaxed monitoring, SI </w:t>
      </w:r>
      <w:r>
        <w:t xml:space="preserve">acquisition and WUS. </w:t>
      </w:r>
    </w:p>
    <w:p w14:paraId="475C1301" w14:textId="77777777" w:rsidR="007E3767" w:rsidRPr="00787DA3" w:rsidRDefault="007E3767" w:rsidP="007E3767">
      <w:pPr>
        <w:rPr>
          <w:sz w:val="2"/>
          <w:szCs w:val="2"/>
        </w:rPr>
      </w:pPr>
    </w:p>
    <w:p w14:paraId="3251EB8D" w14:textId="77777777" w:rsidR="007E3767" w:rsidRPr="00787DA3" w:rsidRDefault="007E3767" w:rsidP="007E3767">
      <w:r w:rsidRPr="00787DA3">
        <w:t xml:space="preserve">In the following, we discuss some of the </w:t>
      </w:r>
      <w:r>
        <w:t>enhancements</w:t>
      </w:r>
      <w:r w:rsidRPr="00787DA3">
        <w:t xml:space="preserve">, which may be beneficial </w:t>
      </w:r>
      <w:r>
        <w:t xml:space="preserve">for idle mode power saving </w:t>
      </w:r>
      <w:r w:rsidRPr="00787DA3">
        <w:t>in an NTN deployment.</w:t>
      </w:r>
    </w:p>
    <w:p w14:paraId="790D93B5" w14:textId="51A06CA8" w:rsidR="002C4C3A" w:rsidRPr="002C4C3A" w:rsidRDefault="002C4C3A" w:rsidP="00EB142E">
      <w:pPr>
        <w:spacing w:after="200" w:line="276" w:lineRule="auto"/>
        <w:contextualSpacing/>
        <w:jc w:val="both"/>
        <w:rPr>
          <w:rFonts w:ascii="Calibri" w:eastAsia="Calibri" w:hAnsi="Calibri"/>
          <w:sz w:val="22"/>
          <w:szCs w:val="22"/>
          <w:lang w:val="en-US"/>
        </w:rPr>
      </w:pPr>
      <w:r>
        <w:rPr>
          <w:rFonts w:ascii="Arial" w:eastAsia="Calibri" w:hAnsi="Arial"/>
          <w:sz w:val="28"/>
          <w:szCs w:val="22"/>
          <w:lang w:val="en-US"/>
        </w:rPr>
        <w:t>System Information acquisition</w:t>
      </w:r>
    </w:p>
    <w:p w14:paraId="5C9D6E97" w14:textId="4BA2A4A7" w:rsidR="00634C4F" w:rsidRDefault="00634C4F" w:rsidP="00634C4F">
      <w:r>
        <w:t>In terrestrial IoT system, stationary or low mobility UE configured with eDRX configuration will have to synchronise to the same cell at the time of paging occasion and MIB acquisition. The system information contents need not be re-acquired if there was no change in system information between the eDRX paging occasions. UE detects the changes in system information based MIB value tag. For the same scenario in IoT-NTN, the UE may see new cell at time of eDRX paging occasion which depends on eDRX period and also the NTN cell change frequency. In this case the UE may need to re-acquire all the system information as it detected new cell. This will happen for most of the eDRX paging occasions. Additional system information re-acquisition for eDRX occasion will lead to considerable increase in energy consumption of idle mode operation.</w:t>
      </w:r>
    </w:p>
    <w:p w14:paraId="1EA86D2D" w14:textId="77777777" w:rsidR="00634C4F" w:rsidRDefault="00634C4F" w:rsidP="00634C4F">
      <w:r w:rsidRPr="00634C4F">
        <w:t>Common system information across group of cells which are tracked via separate value tag can be considered to minimise the impact of system information re-acquistion. The area-based system information concept introduced in NR for specific set of system information can be extended for IoT-NTN. Alternatively, the UE may preserve system information for larger number of IoT-NTN cells with longer validity period.</w:t>
      </w:r>
    </w:p>
    <w:p w14:paraId="3E71146A" w14:textId="77777777" w:rsidR="00634C4F" w:rsidRPr="00A31FAF" w:rsidRDefault="00634C4F" w:rsidP="00634C4F">
      <w:pPr>
        <w:rPr>
          <w:b/>
          <w:bCs/>
        </w:rPr>
      </w:pPr>
      <w:r w:rsidRPr="00A31FAF">
        <w:rPr>
          <w:b/>
          <w:bCs/>
        </w:rPr>
        <w:t>Observation</w:t>
      </w:r>
      <w:r>
        <w:rPr>
          <w:b/>
          <w:bCs/>
        </w:rPr>
        <w:t xml:space="preserve"> 1</w:t>
      </w:r>
      <w:r w:rsidRPr="00A31FAF">
        <w:rPr>
          <w:b/>
          <w:bCs/>
        </w:rPr>
        <w:t>: NTN cell mobility will have significant impact on energy consumption for eDRX operation due to increased system information re-acquisition.</w:t>
      </w:r>
    </w:p>
    <w:p w14:paraId="132901C6" w14:textId="77777777" w:rsidR="00634C4F" w:rsidRPr="006376A3" w:rsidRDefault="00634C4F" w:rsidP="00634C4F">
      <w:r w:rsidRPr="00A31FAF">
        <w:rPr>
          <w:b/>
          <w:bCs/>
        </w:rPr>
        <w:t>Proposal</w:t>
      </w:r>
      <w:r>
        <w:rPr>
          <w:b/>
          <w:bCs/>
        </w:rPr>
        <w:t xml:space="preserve"> 1</w:t>
      </w:r>
      <w:r w:rsidRPr="00A31FAF">
        <w:rPr>
          <w:b/>
          <w:bCs/>
        </w:rPr>
        <w:t>: RAN2 to consider enhancements to minimise the system information acquisition for eDRX operation as part of the study Item.</w:t>
      </w:r>
    </w:p>
    <w:p w14:paraId="662BB4D7" w14:textId="62A3E23C" w:rsidR="00B149EB" w:rsidRPr="00475B34" w:rsidRDefault="001F075C" w:rsidP="00EB142E">
      <w:pPr>
        <w:spacing w:after="200" w:line="276" w:lineRule="auto"/>
        <w:jc w:val="both"/>
      </w:pPr>
      <w:r w:rsidRPr="00EB142E">
        <w:rPr>
          <w:rFonts w:ascii="Arial" w:hAnsi="Arial"/>
          <w:sz w:val="28"/>
        </w:rPr>
        <w:t>(</w:t>
      </w:r>
      <w:r w:rsidR="00B149EB" w:rsidRPr="00EB142E">
        <w:rPr>
          <w:rFonts w:ascii="Arial" w:hAnsi="Arial"/>
          <w:sz w:val="28"/>
        </w:rPr>
        <w:t>Group</w:t>
      </w:r>
      <w:r w:rsidRPr="00EB142E">
        <w:rPr>
          <w:rFonts w:ascii="Arial" w:hAnsi="Arial"/>
          <w:sz w:val="28"/>
        </w:rPr>
        <w:t>)</w:t>
      </w:r>
      <w:r w:rsidR="00B149EB" w:rsidRPr="00EB142E">
        <w:rPr>
          <w:rFonts w:ascii="Arial" w:hAnsi="Arial"/>
          <w:sz w:val="28"/>
        </w:rPr>
        <w:t xml:space="preserve"> wake-up signal</w:t>
      </w:r>
    </w:p>
    <w:p w14:paraId="35C583E2" w14:textId="77777777" w:rsidR="00B149EB" w:rsidRDefault="00B149EB" w:rsidP="00B149EB">
      <w:r>
        <w:t xml:space="preserve">The wake-up signal (WUS) was introduced for eMTC and NB-IoT in release 15. It enables the network to inform the UEs in a cell whether or not to monitor one of more Paging Occasions (POs) following the WUS. The reason for </w:t>
      </w:r>
      <w:r>
        <w:lastRenderedPageBreak/>
        <w:t>introducing the feature is that the monitoring for the sequence-based WUS is more energy efficient than monitoring for paging in the PO. In release 16, the group-WUS (GWUS) was introduced, allowing the network to only trigger a subset (a group) of UEs in a cell to monitor the PO(s). This effectively reduces the false alarm rate, and considering the large NTN cell sizes, the GWUS may be a useful feature for NTN.</w:t>
      </w:r>
    </w:p>
    <w:p w14:paraId="2EA8C18C" w14:textId="77777777" w:rsidR="00B149EB" w:rsidRDefault="00B149EB" w:rsidP="00B149EB">
      <w:r w:rsidRPr="003D4DBB">
        <w:t>One</w:t>
      </w:r>
      <w:r>
        <w:t xml:space="preserve"> issue related to GWUS is that current specification defines it is only applicable in the cell where UE most recently entered RRC Idle. Since LEO deployments lead to fast changing cell coverage, this issue may need to be addressed to ensure general applicability of GWUS.</w:t>
      </w:r>
    </w:p>
    <w:p w14:paraId="1B15DF1E" w14:textId="77777777" w:rsidR="00B149EB" w:rsidRDefault="00B149EB" w:rsidP="00B149EB">
      <w:r>
        <w:t xml:space="preserve">Another aspect related to use of GWUS is that the UE may decide not to utilize GNSS before the GWUS has indicated the UE has to monitor the PO, or potentially not utilize GNSS before PO has indicated UE needs to initiate RRC connection. Both scenarios may require that network allocates a </w:t>
      </w:r>
      <w:r w:rsidRPr="003D4DBB">
        <w:t>“GNSS measurement gap”</w:t>
      </w:r>
      <w:r>
        <w:t>, such that UE has time to complete the GNSS measurement before network repeats GWUS/paging, because network may believe UE did not receive GWUS/paging, but in reality UE is just performing GNSS measurement.</w:t>
      </w:r>
    </w:p>
    <w:p w14:paraId="311D51C6" w14:textId="70AE6CB4" w:rsidR="00B149EB" w:rsidRPr="00C17BE5" w:rsidRDefault="00B149EB" w:rsidP="00B149EB">
      <w:pPr>
        <w:jc w:val="both"/>
        <w:rPr>
          <w:b/>
          <w:bCs/>
        </w:rPr>
      </w:pPr>
      <w:r w:rsidRPr="00C17BE5">
        <w:rPr>
          <w:b/>
          <w:bCs/>
        </w:rPr>
        <w:t xml:space="preserve">Proposal 2: RAN2 to consider </w:t>
      </w:r>
      <w:r w:rsidR="007D0CFF">
        <w:rPr>
          <w:b/>
          <w:bCs/>
        </w:rPr>
        <w:t>the enhancements on</w:t>
      </w:r>
      <w:r w:rsidR="007D0CFF" w:rsidRPr="00C17BE5">
        <w:rPr>
          <w:b/>
          <w:bCs/>
        </w:rPr>
        <w:t xml:space="preserve"> </w:t>
      </w:r>
      <w:r w:rsidRPr="00C17BE5">
        <w:rPr>
          <w:b/>
          <w:bCs/>
        </w:rPr>
        <w:t xml:space="preserve">Group Wake-Up Signal for NTN </w:t>
      </w:r>
      <w:r w:rsidR="00D41263">
        <w:rPr>
          <w:b/>
          <w:bCs/>
        </w:rPr>
        <w:t xml:space="preserve">such as </w:t>
      </w:r>
      <w:r w:rsidR="00D41263" w:rsidRPr="0013068E">
        <w:rPr>
          <w:b/>
          <w:bCs/>
        </w:rPr>
        <w:t>applicabi</w:t>
      </w:r>
      <w:r w:rsidR="00D41263">
        <w:rPr>
          <w:b/>
          <w:bCs/>
        </w:rPr>
        <w:t>lity</w:t>
      </w:r>
      <w:r w:rsidR="00D41263" w:rsidRPr="0013068E">
        <w:rPr>
          <w:rFonts w:eastAsia="Times New Roman"/>
          <w:b/>
          <w:bCs/>
        </w:rPr>
        <w:t xml:space="preserve"> in the cases of moving cell </w:t>
      </w:r>
      <w:r w:rsidR="00D41263">
        <w:rPr>
          <w:b/>
          <w:bCs/>
        </w:rPr>
        <w:t xml:space="preserve">and GNSS measurement gap </w:t>
      </w:r>
      <w:r w:rsidR="006B2191">
        <w:rPr>
          <w:b/>
          <w:bCs/>
        </w:rPr>
        <w:t xml:space="preserve">when using </w:t>
      </w:r>
      <w:r w:rsidR="00D41263">
        <w:rPr>
          <w:b/>
          <w:bCs/>
        </w:rPr>
        <w:t>GWUS</w:t>
      </w:r>
      <w:r w:rsidRPr="00C17BE5">
        <w:rPr>
          <w:b/>
          <w:bCs/>
        </w:rPr>
        <w:t>.</w:t>
      </w:r>
    </w:p>
    <w:p w14:paraId="3858409B" w14:textId="1B47FC03" w:rsidR="00126108" w:rsidRPr="002C4C3A" w:rsidRDefault="00126108" w:rsidP="00EB142E">
      <w:pPr>
        <w:spacing w:after="200" w:line="276" w:lineRule="auto"/>
        <w:contextualSpacing/>
        <w:jc w:val="both"/>
        <w:rPr>
          <w:rFonts w:ascii="Arial" w:eastAsia="Calibri" w:hAnsi="Arial"/>
          <w:sz w:val="28"/>
          <w:szCs w:val="22"/>
          <w:lang w:val="en-US"/>
        </w:rPr>
      </w:pPr>
      <w:r>
        <w:rPr>
          <w:rFonts w:ascii="Arial" w:eastAsia="Calibri" w:hAnsi="Arial"/>
          <w:sz w:val="28"/>
          <w:szCs w:val="22"/>
          <w:lang w:val="en-US"/>
        </w:rPr>
        <w:t>PSM</w:t>
      </w:r>
    </w:p>
    <w:p w14:paraId="4127C554" w14:textId="5BC16AB7" w:rsidR="00126108" w:rsidRDefault="002E6826" w:rsidP="007A2E55">
      <w:r>
        <w:t xml:space="preserve">UE in power saving mode will enter into deep sleep mode after specific timer value on entering into idle mode. The UE will start network monitoring only when there is trigger from higher layers for application data transmission. In such cases, the UE implementations may consider cell search for best cell directly for NTN scenario instead of attempting to acquire the last known cell. Attempting to camp on last known cell may be beneficial for stationary device in terrestrial scenario but will lead to additional time for network synchronisation.  Moreover, GNSS operation will be essential prior to the MO </w:t>
      </w:r>
      <w:r w:rsidR="006C4C94">
        <w:t xml:space="preserve">data </w:t>
      </w:r>
      <w:r>
        <w:t>transmission for time and frequency compensation.  Need for GNSS operation prior to PSM depends on whether GNSS operation can be independently carried out periodically or it is linked to the MO data trigger. The power consumption and the time taken for MO data transmission can be optimised if the system information acquisition prior to MO data is enhanced via some means such as common system information or area-based system information.</w:t>
      </w:r>
    </w:p>
    <w:p w14:paraId="7985EF83" w14:textId="29890751" w:rsidR="002E6826" w:rsidRPr="00EB142E" w:rsidRDefault="002E6826" w:rsidP="007A2E55">
      <w:pPr>
        <w:rPr>
          <w:b/>
          <w:bCs/>
        </w:rPr>
      </w:pPr>
      <w:r w:rsidRPr="00EB142E">
        <w:rPr>
          <w:b/>
          <w:bCs/>
        </w:rPr>
        <w:t xml:space="preserve">Observation </w:t>
      </w:r>
      <w:r w:rsidR="00391FA1">
        <w:rPr>
          <w:b/>
          <w:bCs/>
        </w:rPr>
        <w:t>2</w:t>
      </w:r>
      <w:r w:rsidRPr="00EB142E">
        <w:rPr>
          <w:b/>
          <w:bCs/>
        </w:rPr>
        <w:t>: Power consumption reduction for PSM operation depends on GNSS operation interworking and system information acquisition enhancements under consideration in this study item.</w:t>
      </w:r>
    </w:p>
    <w:p w14:paraId="55E38047" w14:textId="08EA8665" w:rsidR="00C11A70" w:rsidRPr="00C11A70" w:rsidRDefault="00743384" w:rsidP="00EB142E">
      <w:pPr>
        <w:spacing w:after="200" w:line="276" w:lineRule="auto"/>
        <w:contextualSpacing/>
        <w:jc w:val="both"/>
        <w:rPr>
          <w:rFonts w:ascii="Arial" w:eastAsia="Calibri" w:hAnsi="Arial"/>
          <w:sz w:val="28"/>
          <w:szCs w:val="22"/>
          <w:lang w:val="en-US"/>
        </w:rPr>
      </w:pPr>
      <w:r>
        <w:rPr>
          <w:rFonts w:ascii="Arial" w:eastAsia="Calibri" w:hAnsi="Arial"/>
          <w:sz w:val="28"/>
          <w:szCs w:val="22"/>
          <w:lang w:val="en-US"/>
        </w:rPr>
        <w:t>R</w:t>
      </w:r>
      <w:r w:rsidR="002C4C3A" w:rsidRPr="002C4C3A">
        <w:rPr>
          <w:rFonts w:ascii="Arial" w:eastAsia="Calibri" w:hAnsi="Arial"/>
          <w:sz w:val="28"/>
          <w:szCs w:val="22"/>
          <w:lang w:val="en-US"/>
        </w:rPr>
        <w:t>elaxed monitoring</w:t>
      </w:r>
    </w:p>
    <w:p w14:paraId="070FC52B" w14:textId="28328D9C" w:rsidR="00C11A70" w:rsidRDefault="000F1417" w:rsidP="007A2E55">
      <w:r>
        <w:t xml:space="preserve">The relaxed monitoring functionality specified for terrestrial IoT devices may not be applicable as such for NTN scenarios with moving cells. As the serving cell measurements continue to vary in moving cell scenario, decision for relaxed monitoring based on serving cell measurement variation will not lead to effective relaxed monitoring for stationary or low mobility device in NTN scenario. Modification to the relaxed monitoring criteria considering the ephemeris information and location of UE would be required to avoid unnecessary triggering of inter and intra frequency measurements before the UE is getting into the coverage of new cell.  </w:t>
      </w:r>
    </w:p>
    <w:p w14:paraId="7571DACE" w14:textId="089BF058" w:rsidR="000F1417" w:rsidRPr="00C17BE5" w:rsidRDefault="000F1417" w:rsidP="000F1417">
      <w:pPr>
        <w:jc w:val="both"/>
        <w:rPr>
          <w:b/>
          <w:bCs/>
        </w:rPr>
      </w:pPr>
      <w:r w:rsidRPr="00C17BE5">
        <w:rPr>
          <w:b/>
          <w:bCs/>
        </w:rPr>
        <w:t xml:space="preserve">Proposal </w:t>
      </w:r>
      <w:r>
        <w:rPr>
          <w:b/>
          <w:bCs/>
        </w:rPr>
        <w:t>3</w:t>
      </w:r>
      <w:r w:rsidRPr="00C17BE5">
        <w:rPr>
          <w:b/>
          <w:bCs/>
        </w:rPr>
        <w:t xml:space="preserve">: </w:t>
      </w:r>
      <w:r>
        <w:rPr>
          <w:b/>
          <w:bCs/>
        </w:rPr>
        <w:t xml:space="preserve">RAN2 to consider further modifications to the relaxed monitoring functionality </w:t>
      </w:r>
      <w:r w:rsidR="002E6826">
        <w:rPr>
          <w:b/>
          <w:bCs/>
        </w:rPr>
        <w:t>to improve the UE power saving for moving cell scenario.</w:t>
      </w:r>
    </w:p>
    <w:p w14:paraId="21D79970" w14:textId="74093B64" w:rsidR="00C11A70" w:rsidRDefault="00C11A70" w:rsidP="007A2E55"/>
    <w:p w14:paraId="21386829" w14:textId="77777777" w:rsidR="00391FA1" w:rsidRDefault="00391FA1" w:rsidP="007A2E55"/>
    <w:p w14:paraId="7098F90D" w14:textId="366F6700" w:rsidR="00A209D6" w:rsidRDefault="00B7538C" w:rsidP="00A209D6">
      <w:pPr>
        <w:pStyle w:val="Heading2"/>
      </w:pPr>
      <w:r>
        <w:t>2</w:t>
      </w:r>
      <w:r w:rsidR="00A209D6" w:rsidRPr="006E13D1">
        <w:t>.2</w:t>
      </w:r>
      <w:r w:rsidR="00A209D6" w:rsidRPr="006E13D1">
        <w:tab/>
      </w:r>
      <w:r w:rsidR="00C11A70">
        <w:t>Enhancements</w:t>
      </w:r>
      <w:r w:rsidR="00962EAA">
        <w:t xml:space="preserve"> </w:t>
      </w:r>
      <w:r w:rsidR="001A526F">
        <w:t xml:space="preserve">for UE </w:t>
      </w:r>
      <w:r w:rsidR="00962EAA">
        <w:t>in RRC</w:t>
      </w:r>
      <w:r w:rsidR="00C11A70">
        <w:t xml:space="preserve"> Connected Mode</w:t>
      </w:r>
    </w:p>
    <w:p w14:paraId="1CA3840B" w14:textId="77777777" w:rsidR="006B4062" w:rsidRDefault="006B4062" w:rsidP="006B4062">
      <w:r>
        <w:t xml:space="preserve">In the RAN2-113bis-e meeting, RAN2 endorsed below points to on enhancements on Connected Mode. </w:t>
      </w:r>
    </w:p>
    <w:p w14:paraId="480D5CC2" w14:textId="77777777" w:rsidR="006B4062" w:rsidRDefault="006B4062" w:rsidP="006B4062">
      <w:pPr>
        <w:pStyle w:val="Agreement"/>
      </w:pPr>
      <w:r>
        <w:t>For Connected mode, for both NB-IoT and eMTC, Legacy RLF and reestablishment procedures can be used (minor enhancement can be considered).</w:t>
      </w:r>
    </w:p>
    <w:p w14:paraId="43AC523F" w14:textId="77777777" w:rsidR="006B4062" w:rsidRDefault="006B4062" w:rsidP="006B4062">
      <w:pPr>
        <w:pStyle w:val="Agreement"/>
      </w:pPr>
      <w:r>
        <w:t>Chair: Most companies think Enhancements for power saving in connected mode are not essential for NTN IOT devices.</w:t>
      </w:r>
    </w:p>
    <w:p w14:paraId="44DC1793" w14:textId="77777777" w:rsidR="006B4062" w:rsidRPr="00882194" w:rsidRDefault="006B4062" w:rsidP="006B4062">
      <w:pPr>
        <w:pStyle w:val="Agreement"/>
      </w:pPr>
      <w:r>
        <w:t xml:space="preserve">(19/23) Enhancements to UL scheduling </w:t>
      </w:r>
      <w:r w:rsidRPr="00781401">
        <w:rPr>
          <w:rFonts w:eastAsia="宋体"/>
          <w:lang w:eastAsia="zh-CN"/>
        </w:rPr>
        <w:t xml:space="preserve">for </w:t>
      </w:r>
      <w:r>
        <w:rPr>
          <w:rFonts w:eastAsia="宋体"/>
          <w:lang w:eastAsia="zh-CN"/>
        </w:rPr>
        <w:t>latency</w:t>
      </w:r>
      <w:r w:rsidRPr="00781401">
        <w:rPr>
          <w:rFonts w:eastAsia="宋体"/>
          <w:lang w:eastAsia="zh-CN"/>
        </w:rPr>
        <w:t xml:space="preserve"> reduction</w:t>
      </w:r>
      <w:r>
        <w:t xml:space="preserve"> are not essential. </w:t>
      </w:r>
    </w:p>
    <w:p w14:paraId="4A813054" w14:textId="77777777" w:rsidR="006B4062" w:rsidRPr="008C398F" w:rsidRDefault="006B4062" w:rsidP="006B4062">
      <w:pPr>
        <w:rPr>
          <w:sz w:val="2"/>
          <w:szCs w:val="2"/>
        </w:rPr>
      </w:pPr>
    </w:p>
    <w:p w14:paraId="5927DCC2" w14:textId="77777777" w:rsidR="006B4062" w:rsidRPr="00787DA3" w:rsidRDefault="006B4062" w:rsidP="006B4062">
      <w:r>
        <w:t>On top of that, we discuss some other possible enhancements</w:t>
      </w:r>
      <w:r w:rsidRPr="00787DA3">
        <w:t>.</w:t>
      </w:r>
    </w:p>
    <w:p w14:paraId="0CCB5640" w14:textId="6FB89756" w:rsidR="00391FA1" w:rsidRDefault="00391FA1"/>
    <w:p w14:paraId="1792A007" w14:textId="6F11E1AA" w:rsidR="00391FA1" w:rsidRDefault="00391FA1"/>
    <w:p w14:paraId="16BB6B7C" w14:textId="6ACF2FDB" w:rsidR="00267083" w:rsidRDefault="004412B6" w:rsidP="00524460">
      <w:pPr>
        <w:spacing w:after="200" w:line="276" w:lineRule="auto"/>
        <w:contextualSpacing/>
        <w:jc w:val="both"/>
        <w:rPr>
          <w:rFonts w:ascii="Arial" w:eastAsia="Calibri" w:hAnsi="Arial"/>
          <w:sz w:val="28"/>
          <w:szCs w:val="22"/>
          <w:lang w:val="en-US"/>
        </w:rPr>
      </w:pPr>
      <w:r>
        <w:rPr>
          <w:rFonts w:ascii="Arial" w:eastAsia="Calibri" w:hAnsi="Arial"/>
          <w:sz w:val="28"/>
          <w:szCs w:val="22"/>
          <w:lang w:val="en-US"/>
        </w:rPr>
        <w:lastRenderedPageBreak/>
        <w:t>C</w:t>
      </w:r>
      <w:r w:rsidR="00267083" w:rsidRPr="00267083">
        <w:rPr>
          <w:rFonts w:ascii="Arial" w:eastAsia="Calibri" w:hAnsi="Arial"/>
          <w:sz w:val="28"/>
          <w:szCs w:val="22"/>
          <w:lang w:val="en-US"/>
        </w:rPr>
        <w:t>onnected mode mobility</w:t>
      </w:r>
    </w:p>
    <w:p w14:paraId="5AA0F95A" w14:textId="539F9269" w:rsidR="00267083" w:rsidRDefault="000F58B9" w:rsidP="007A2E55">
      <w:pPr>
        <w:rPr>
          <w:lang w:val="en-US"/>
        </w:rPr>
      </w:pPr>
      <w:r>
        <w:rPr>
          <w:lang w:val="en-US"/>
        </w:rPr>
        <w:t>RAN2 has made the following observation in RAN2-113-e meeting on the applicability of CHO functionality for eMTC.</w:t>
      </w:r>
    </w:p>
    <w:p w14:paraId="2BC09904" w14:textId="4E0F82D9" w:rsidR="000F58B9" w:rsidRPr="00EB142E" w:rsidRDefault="000F58B9" w:rsidP="00EB142E">
      <w:pPr>
        <w:pStyle w:val="Agreement"/>
        <w:rPr>
          <w:b w:val="0"/>
        </w:rPr>
      </w:pPr>
      <w:r w:rsidRPr="00EB142E">
        <w:t>R2 has (so far) not identified any issue in order to support CHO for Cat-M UEs with EPC.</w:t>
      </w:r>
    </w:p>
    <w:p w14:paraId="441B9380" w14:textId="296BE1FE" w:rsidR="000F58B9" w:rsidRDefault="000F58B9" w:rsidP="000F58B9">
      <w:r>
        <w:t xml:space="preserve">Support of CHO functionality for condition based on measurement events, the accuracy of UE measurements is one of the important criteria for </w:t>
      </w:r>
      <w:r w:rsidR="00BD418B">
        <w:t>right decision on selection of target candidate. The measurement accuracy for UE operating in CE Mode-</w:t>
      </w:r>
      <w:r w:rsidR="00BF477C">
        <w:t>B</w:t>
      </w:r>
      <w:r w:rsidR="00BD418B">
        <w:t xml:space="preserve"> in extended coverage may have impact on the CHO decisions linked to measurements. </w:t>
      </w:r>
    </w:p>
    <w:p w14:paraId="4C6E057A" w14:textId="0FC492C5" w:rsidR="00BD418B" w:rsidRDefault="00BD418B" w:rsidP="000F58B9">
      <w:pPr>
        <w:rPr>
          <w:b/>
          <w:bCs/>
        </w:rPr>
      </w:pPr>
      <w:r w:rsidRPr="00EB142E">
        <w:rPr>
          <w:b/>
          <w:bCs/>
        </w:rPr>
        <w:t xml:space="preserve">Proposal </w:t>
      </w:r>
      <w:r w:rsidR="00BF477C">
        <w:rPr>
          <w:b/>
          <w:bCs/>
        </w:rPr>
        <w:t>4</w:t>
      </w:r>
      <w:r w:rsidRPr="00EB142E">
        <w:rPr>
          <w:b/>
          <w:bCs/>
        </w:rPr>
        <w:t>: Applicability of CHO for UE in CE-Mode-B should be decided based on RAN4 analysis on measurement accuracy of CE</w:t>
      </w:r>
      <w:r w:rsidR="008A143B">
        <w:rPr>
          <w:b/>
          <w:bCs/>
        </w:rPr>
        <w:t xml:space="preserve"> </w:t>
      </w:r>
      <w:r w:rsidRPr="00EB142E">
        <w:rPr>
          <w:b/>
          <w:bCs/>
        </w:rPr>
        <w:t>Mode-B for CHO evaluation.</w:t>
      </w:r>
    </w:p>
    <w:p w14:paraId="52E1B415" w14:textId="7F1D7B3C" w:rsidR="00BD418B" w:rsidRDefault="00BD418B" w:rsidP="000F58B9">
      <w:r>
        <w:t>RAN2 has made following agreements for RLF enhancements in the last meeting.</w:t>
      </w:r>
    </w:p>
    <w:p w14:paraId="270320A4" w14:textId="77777777" w:rsidR="00BD418B" w:rsidRDefault="00BD418B" w:rsidP="00BD418B">
      <w:pPr>
        <w:pStyle w:val="Agreement"/>
      </w:pPr>
      <w:r>
        <w:t>For Connected mode, for both NB-IoT and eMTC, Legacy RLF and reestablishment procedures can be used (minor enhancement can be considered).</w:t>
      </w:r>
    </w:p>
    <w:p w14:paraId="1AF041CA" w14:textId="77777777" w:rsidR="00BD418B" w:rsidRPr="00EB142E" w:rsidRDefault="00BD418B" w:rsidP="000F58B9">
      <w:pPr>
        <w:rPr>
          <w:sz w:val="2"/>
          <w:szCs w:val="2"/>
          <w:lang w:val="en-US"/>
        </w:rPr>
      </w:pPr>
    </w:p>
    <w:p w14:paraId="0A114E20" w14:textId="160E0F83" w:rsidR="00BD418B" w:rsidRDefault="00BD418B" w:rsidP="000F58B9">
      <w:pPr>
        <w:rPr>
          <w:lang w:val="en-US"/>
        </w:rPr>
      </w:pPr>
      <w:r>
        <w:rPr>
          <w:lang w:val="en-US"/>
        </w:rPr>
        <w:t xml:space="preserve">For IoT-NTN UE operating in NTN frequency bands, network assistance information about potential target cells such as system information for RACH access can be provided via dedicated signallling to </w:t>
      </w:r>
      <w:r w:rsidR="002F5BB7">
        <w:rPr>
          <w:lang w:val="en-US"/>
        </w:rPr>
        <w:t>optimize</w:t>
      </w:r>
      <w:r>
        <w:rPr>
          <w:lang w:val="en-US"/>
        </w:rPr>
        <w:t xml:space="preserve"> the re-establishment time for RLF situation can be considered. The specification changes required for this enhancement is limited to inclusion of additional information in the dedicated signalling.</w:t>
      </w:r>
    </w:p>
    <w:p w14:paraId="24A4016E" w14:textId="2DAE06A7" w:rsidR="00524460" w:rsidRDefault="00BD418B" w:rsidP="00EB142E">
      <w:pPr>
        <w:rPr>
          <w:rFonts w:ascii="Arial" w:eastAsia="Calibri" w:hAnsi="Arial"/>
          <w:sz w:val="28"/>
          <w:szCs w:val="22"/>
          <w:lang w:val="en-US"/>
        </w:rPr>
      </w:pPr>
      <w:r w:rsidRPr="00265E75">
        <w:rPr>
          <w:b/>
          <w:bCs/>
        </w:rPr>
        <w:t xml:space="preserve">Proposal </w:t>
      </w:r>
      <w:r w:rsidR="008A143B">
        <w:rPr>
          <w:b/>
          <w:bCs/>
        </w:rPr>
        <w:t>5</w:t>
      </w:r>
      <w:r w:rsidRPr="00265E75">
        <w:rPr>
          <w:b/>
          <w:bCs/>
        </w:rPr>
        <w:t xml:space="preserve">: </w:t>
      </w:r>
      <w:r>
        <w:rPr>
          <w:b/>
          <w:bCs/>
        </w:rPr>
        <w:t xml:space="preserve">Inclusion of network assistance information about potential target cells of RLF </w:t>
      </w:r>
      <w:r w:rsidR="00D23BB4">
        <w:rPr>
          <w:b/>
          <w:bCs/>
        </w:rPr>
        <w:t>should be considered if RAN2 decides to enhance RLF and re-establishment procedures for IoT-NTN.</w:t>
      </w:r>
    </w:p>
    <w:p w14:paraId="67D67570" w14:textId="77777777" w:rsidR="00524460" w:rsidRDefault="00524460" w:rsidP="00524460">
      <w:pPr>
        <w:spacing w:after="200" w:line="276" w:lineRule="auto"/>
        <w:contextualSpacing/>
        <w:jc w:val="both"/>
        <w:rPr>
          <w:rFonts w:ascii="Arial" w:eastAsia="Calibri" w:hAnsi="Arial"/>
          <w:sz w:val="28"/>
          <w:szCs w:val="22"/>
          <w:lang w:val="en-US"/>
        </w:rPr>
      </w:pPr>
    </w:p>
    <w:p w14:paraId="31ED839F" w14:textId="0841F4BD" w:rsidR="00267083" w:rsidRPr="00267083" w:rsidRDefault="00212ECF" w:rsidP="00EB142E">
      <w:pPr>
        <w:spacing w:after="200" w:line="276" w:lineRule="auto"/>
        <w:contextualSpacing/>
        <w:jc w:val="both"/>
        <w:rPr>
          <w:rFonts w:ascii="Arial" w:eastAsia="Calibri" w:hAnsi="Arial"/>
          <w:sz w:val="28"/>
          <w:szCs w:val="22"/>
          <w:lang w:val="en-US"/>
        </w:rPr>
      </w:pPr>
      <w:r>
        <w:rPr>
          <w:rFonts w:ascii="Arial" w:eastAsia="Calibri" w:hAnsi="Arial"/>
          <w:sz w:val="28"/>
          <w:szCs w:val="22"/>
          <w:lang w:val="en-US"/>
        </w:rPr>
        <w:t xml:space="preserve">Fast </w:t>
      </w:r>
      <w:r w:rsidR="00267083">
        <w:rPr>
          <w:rFonts w:ascii="Arial" w:eastAsia="Calibri" w:hAnsi="Arial"/>
          <w:sz w:val="28"/>
          <w:szCs w:val="22"/>
          <w:lang w:val="en-US"/>
        </w:rPr>
        <w:t>CE level determination</w:t>
      </w:r>
    </w:p>
    <w:p w14:paraId="380824AD" w14:textId="7ED4E3CC" w:rsidR="00DC08F8" w:rsidRPr="00AC4BD8" w:rsidRDefault="00DC08F8" w:rsidP="00DC08F8">
      <w:pPr>
        <w:rPr>
          <w:lang w:val="en-US"/>
        </w:rPr>
      </w:pPr>
      <w:r w:rsidRPr="00AC4BD8">
        <w:rPr>
          <w:lang w:val="en-US"/>
        </w:rPr>
        <w:t xml:space="preserve">In terrestrial IoT system, NB-IoT UE is stationary or low-mobility UEs which the  distance and pathloss between BS and UE don’t change a lot, therefore the coverage level is only implicitly reported to the BS in the RACH procedure, and the NW will configure the maximum number of repetitions(Rmax) when the connection is setup according to the determined CE level (e.g. for PDCCH UE specific search space (USS)). For the DL and UL data transmission, the channel repetition number is signaled with DCI based on both the coverage level (Rmax) and the transmission status of previous data. When UE is in RRC Connected state, NW may reconfigure the </w:t>
      </w:r>
      <w:r>
        <w:rPr>
          <w:lang w:val="en-US"/>
        </w:rPr>
        <w:t>c</w:t>
      </w:r>
      <w:r w:rsidRPr="00AC4BD8">
        <w:rPr>
          <w:lang w:val="en-US"/>
        </w:rPr>
        <w:t xml:space="preserve">overage </w:t>
      </w:r>
      <w:r>
        <w:rPr>
          <w:lang w:val="en-US"/>
        </w:rPr>
        <w:t>l</w:t>
      </w:r>
      <w:r w:rsidRPr="00AC4BD8">
        <w:rPr>
          <w:lang w:val="en-US"/>
        </w:rPr>
        <w:t>evel based on link adaptation to configure different Rmax for repetitions.</w:t>
      </w:r>
    </w:p>
    <w:p w14:paraId="2B73C6AF" w14:textId="0539D211" w:rsidR="00DC08F8" w:rsidRDefault="00DC08F8" w:rsidP="00DC08F8">
      <w:pPr>
        <w:rPr>
          <w:lang w:val="en-US"/>
        </w:rPr>
      </w:pPr>
      <w:r w:rsidRPr="00AC4BD8">
        <w:rPr>
          <w:lang w:val="en-US"/>
        </w:rPr>
        <w:t>For LEO in NTN, the pathloss between the UE and the satellite is continuously changing with the movement of the satellite. For UE in RRC connected</w:t>
      </w:r>
      <w:r>
        <w:rPr>
          <w:lang w:val="en-US"/>
        </w:rPr>
        <w:t xml:space="preserve"> state</w:t>
      </w:r>
      <w:r w:rsidRPr="00AC4BD8">
        <w:rPr>
          <w:lang w:val="en-US"/>
        </w:rPr>
        <w:t>, during data transmissions</w:t>
      </w:r>
      <w:r w:rsidR="00651285">
        <w:rPr>
          <w:lang w:val="en-US"/>
        </w:rPr>
        <w:t xml:space="preserve"> (e.g. </w:t>
      </w:r>
      <w:r w:rsidR="00C10166" w:rsidRPr="00C10166">
        <w:rPr>
          <w:lang w:val="en-US"/>
        </w:rPr>
        <w:t xml:space="preserve">large packet </w:t>
      </w:r>
      <w:r w:rsidR="00C10166">
        <w:rPr>
          <w:lang w:val="en-US"/>
        </w:rPr>
        <w:t>for</w:t>
      </w:r>
      <w:r w:rsidR="00C10166" w:rsidRPr="00C10166">
        <w:rPr>
          <w:lang w:val="en-US"/>
        </w:rPr>
        <w:t xml:space="preserve"> firmware update</w:t>
      </w:r>
      <w:r w:rsidR="00651285">
        <w:rPr>
          <w:lang w:val="en-US"/>
        </w:rPr>
        <w:t>)</w:t>
      </w:r>
      <w:r w:rsidRPr="00AC4BD8">
        <w:rPr>
          <w:lang w:val="en-US"/>
        </w:rPr>
        <w:t xml:space="preserve">, the coverage level is possible to change with the movement of the satellite. Considering long RTT between UE and NW, the issue is that it may not efficient for NW to reconfigure the CE level only based on link adaptation. </w:t>
      </w:r>
      <w:r>
        <w:rPr>
          <w:lang w:val="en-US"/>
        </w:rPr>
        <w:t>T</w:t>
      </w:r>
      <w:r w:rsidRPr="00AC4BD8">
        <w:rPr>
          <w:lang w:val="en-US"/>
        </w:rPr>
        <w:t xml:space="preserve">he issue may need to be addressed to </w:t>
      </w:r>
      <w:r w:rsidR="0027786F">
        <w:rPr>
          <w:lang w:val="en-US"/>
        </w:rPr>
        <w:t>facilitate</w:t>
      </w:r>
      <w:r w:rsidRPr="00AC4BD8">
        <w:rPr>
          <w:lang w:val="en-US"/>
        </w:rPr>
        <w:t xml:space="preserve"> NW can do fast CE level determination.</w:t>
      </w:r>
    </w:p>
    <w:p w14:paraId="1399E624" w14:textId="2F362B7C" w:rsidR="00DC08F8" w:rsidRDefault="00DC08F8" w:rsidP="00DC08F8">
      <w:pPr>
        <w:rPr>
          <w:lang w:val="en-US"/>
        </w:rPr>
      </w:pPr>
      <w:r w:rsidRPr="00C17BE5">
        <w:rPr>
          <w:b/>
          <w:bCs/>
        </w:rPr>
        <w:t xml:space="preserve">Proposal </w:t>
      </w:r>
      <w:r w:rsidR="005A5961">
        <w:rPr>
          <w:b/>
          <w:bCs/>
        </w:rPr>
        <w:t>6</w:t>
      </w:r>
      <w:r w:rsidRPr="00C17BE5">
        <w:rPr>
          <w:b/>
          <w:bCs/>
        </w:rPr>
        <w:t>: RAN2 to consider</w:t>
      </w:r>
      <w:r>
        <w:rPr>
          <w:b/>
          <w:bCs/>
        </w:rPr>
        <w:t xml:space="preserve"> fast </w:t>
      </w:r>
      <w:r>
        <w:rPr>
          <w:rFonts w:eastAsia="Times New Roman"/>
          <w:b/>
          <w:bCs/>
        </w:rPr>
        <w:t xml:space="preserve">coverage </w:t>
      </w:r>
      <w:r>
        <w:rPr>
          <w:b/>
          <w:bCs/>
        </w:rPr>
        <w:t xml:space="preserve">level </w:t>
      </w:r>
      <w:r w:rsidR="0087220E">
        <w:rPr>
          <w:b/>
          <w:bCs/>
        </w:rPr>
        <w:t>reporting</w:t>
      </w:r>
      <w:r>
        <w:rPr>
          <w:b/>
          <w:bCs/>
        </w:rPr>
        <w:t xml:space="preserve"> for UE in RRC Connected State.</w:t>
      </w:r>
    </w:p>
    <w:p w14:paraId="03B27CE4" w14:textId="716DE73B" w:rsidR="00DC08F8" w:rsidRDefault="00DC08F8" w:rsidP="007A2E55">
      <w:pPr>
        <w:rPr>
          <w:lang w:val="en-US"/>
        </w:rPr>
      </w:pPr>
    </w:p>
    <w:p w14:paraId="6A623A6C" w14:textId="6556A663" w:rsidR="00267083" w:rsidRPr="00267083" w:rsidRDefault="0067620B" w:rsidP="00EB142E">
      <w:pPr>
        <w:spacing w:after="200" w:line="276" w:lineRule="auto"/>
        <w:contextualSpacing/>
        <w:jc w:val="both"/>
        <w:rPr>
          <w:rFonts w:ascii="Arial" w:eastAsia="Calibri" w:hAnsi="Arial"/>
          <w:sz w:val="28"/>
          <w:szCs w:val="22"/>
          <w:lang w:val="en-US"/>
        </w:rPr>
      </w:pPr>
      <w:r>
        <w:rPr>
          <w:rFonts w:ascii="Arial" w:eastAsia="Calibri" w:hAnsi="Arial"/>
          <w:sz w:val="28"/>
          <w:szCs w:val="22"/>
          <w:lang w:val="en-US"/>
        </w:rPr>
        <w:t>P</w:t>
      </w:r>
      <w:r w:rsidR="00267083" w:rsidRPr="00267083">
        <w:rPr>
          <w:rFonts w:ascii="Arial" w:eastAsia="Calibri" w:hAnsi="Arial"/>
          <w:sz w:val="28"/>
          <w:szCs w:val="22"/>
          <w:lang w:val="en-US"/>
        </w:rPr>
        <w:t>ower saving</w:t>
      </w:r>
      <w:r>
        <w:rPr>
          <w:rFonts w:ascii="Arial" w:eastAsia="Calibri" w:hAnsi="Arial"/>
          <w:sz w:val="28"/>
          <w:szCs w:val="22"/>
          <w:lang w:val="en-US"/>
        </w:rPr>
        <w:t xml:space="preserve"> in RRC Connected Mode</w:t>
      </w:r>
    </w:p>
    <w:p w14:paraId="76333D01" w14:textId="6CD9760E" w:rsidR="00BF1B06" w:rsidRDefault="00BF1B06" w:rsidP="00BF1B06">
      <w:r>
        <w:t xml:space="preserve">Though majority think enhancements for power saving in connected mode are not essential for NTN IOT devices, </w:t>
      </w:r>
      <w:r w:rsidRPr="00B15D67">
        <w:t>there may still be unnecessary power consumption caused by discontinuous coverage.</w:t>
      </w:r>
      <w:r w:rsidR="00D23BB4">
        <w:t xml:space="preserve"> Features related </w:t>
      </w:r>
      <w:r w:rsidR="003635E3">
        <w:t>to</w:t>
      </w:r>
      <w:r w:rsidR="003635E3">
        <w:t xml:space="preserve"> </w:t>
      </w:r>
      <w:r w:rsidR="00D23BB4">
        <w:t>fast RRC connection release and multiple TB scheduling can be considered as such without additional enhancements. Because these features improves the overall signalling efficiency and power consumption of connected mode operation.</w:t>
      </w:r>
    </w:p>
    <w:p w14:paraId="11775FD9" w14:textId="483A18DA" w:rsidR="00D23BB4" w:rsidRDefault="00D23BB4" w:rsidP="00D23BB4">
      <w:pPr>
        <w:rPr>
          <w:b/>
          <w:bCs/>
        </w:rPr>
      </w:pPr>
      <w:r>
        <w:rPr>
          <w:b/>
          <w:bCs/>
        </w:rPr>
        <w:t xml:space="preserve">Observation </w:t>
      </w:r>
      <w:r w:rsidRPr="00C17BE5">
        <w:rPr>
          <w:b/>
          <w:bCs/>
        </w:rPr>
        <w:t xml:space="preserve"> </w:t>
      </w:r>
      <w:r w:rsidR="005A5961">
        <w:rPr>
          <w:b/>
          <w:bCs/>
        </w:rPr>
        <w:t>3</w:t>
      </w:r>
      <w:r w:rsidRPr="00C17BE5">
        <w:rPr>
          <w:b/>
          <w:bCs/>
        </w:rPr>
        <w:t xml:space="preserve">: </w:t>
      </w:r>
      <w:r>
        <w:rPr>
          <w:b/>
          <w:bCs/>
        </w:rPr>
        <w:t>Release assistance Information for fast connection release may be beneficial to avoid network activating NTN specific connected mode features for shorter data transmissions.</w:t>
      </w:r>
    </w:p>
    <w:p w14:paraId="4C69C1F7" w14:textId="3FBB3C25" w:rsidR="00D23BB4" w:rsidRDefault="00D23BB4" w:rsidP="00D23BB4">
      <w:pPr>
        <w:rPr>
          <w:b/>
          <w:bCs/>
        </w:rPr>
      </w:pPr>
      <w:r>
        <w:rPr>
          <w:b/>
          <w:bCs/>
        </w:rPr>
        <w:t xml:space="preserve">Observation </w:t>
      </w:r>
      <w:r w:rsidR="005A5961">
        <w:rPr>
          <w:b/>
          <w:bCs/>
        </w:rPr>
        <w:t>4</w:t>
      </w:r>
      <w:r>
        <w:rPr>
          <w:b/>
          <w:bCs/>
        </w:rPr>
        <w:t>: Multiple transport block scheduling enable faster delivery of multiple packets for moving cell scenario.</w:t>
      </w:r>
    </w:p>
    <w:p w14:paraId="6CF449B2" w14:textId="4C2EF1A3" w:rsidR="00D23BB4" w:rsidRDefault="00D23BB4" w:rsidP="00D23BB4">
      <w:pPr>
        <w:rPr>
          <w:lang w:val="en-US"/>
        </w:rPr>
      </w:pPr>
      <w:r>
        <w:rPr>
          <w:b/>
          <w:bCs/>
        </w:rPr>
        <w:t xml:space="preserve">Proposal </w:t>
      </w:r>
      <w:r w:rsidR="005A5961">
        <w:rPr>
          <w:b/>
          <w:bCs/>
        </w:rPr>
        <w:t>7</w:t>
      </w:r>
      <w:r>
        <w:rPr>
          <w:b/>
          <w:bCs/>
        </w:rPr>
        <w:t xml:space="preserve">: RAI and Multiple transport block features are considered for Rel-17 WI scope </w:t>
      </w:r>
      <w:r w:rsidR="0061290B">
        <w:rPr>
          <w:b/>
          <w:bCs/>
        </w:rPr>
        <w:t>without additional specification changes.</w:t>
      </w:r>
    </w:p>
    <w:p w14:paraId="5C21F091" w14:textId="77777777" w:rsidR="00D23BB4" w:rsidRDefault="00D23BB4" w:rsidP="00BF1B06"/>
    <w:p w14:paraId="5493D688" w14:textId="01DA6006" w:rsidR="00AF71E4" w:rsidRPr="00EB142E" w:rsidRDefault="00AF71E4" w:rsidP="00EB142E">
      <w:pPr>
        <w:spacing w:after="200" w:line="276" w:lineRule="auto"/>
        <w:rPr>
          <w:rFonts w:ascii="Arial" w:hAnsi="Arial" w:cs="Arial"/>
          <w:sz w:val="28"/>
          <w:szCs w:val="28"/>
        </w:rPr>
      </w:pPr>
      <w:r w:rsidRPr="00EB142E">
        <w:rPr>
          <w:rFonts w:ascii="Arial" w:hAnsi="Arial" w:cs="Arial"/>
          <w:sz w:val="28"/>
          <w:szCs w:val="28"/>
        </w:rPr>
        <w:lastRenderedPageBreak/>
        <w:t xml:space="preserve">HARQ Enhancement </w:t>
      </w:r>
    </w:p>
    <w:p w14:paraId="178245C6" w14:textId="77777777" w:rsidR="00D86647" w:rsidRDefault="00F60289" w:rsidP="007A2E55">
      <w:r w:rsidRPr="00F60289">
        <w:t xml:space="preserve">Due to long RTT in NTN, the issue of HARQ stalling will happen. The large RTT can reduce the throughput significantly as the number of HARQ processes are much smaller than the RTT (e.g. 8 HARQ processes is available while the RTT in NTN will up to 541ms in GEO). To overcome this issue, disabling HARQ is one possible way forward </w:t>
      </w:r>
      <w:r w:rsidR="00D86647">
        <w:t>for</w:t>
      </w:r>
      <w:r w:rsidRPr="00F60289">
        <w:t xml:space="preserve"> IoT NTN.</w:t>
      </w:r>
      <w:r>
        <w:t xml:space="preserve"> </w:t>
      </w:r>
    </w:p>
    <w:p w14:paraId="69CE701E" w14:textId="12AC2BB9" w:rsidR="00AF71E4" w:rsidRPr="00AF71E4" w:rsidRDefault="00AF71E4" w:rsidP="007A2E55">
      <w:pPr>
        <w:rPr>
          <w:lang w:val="en-US"/>
        </w:rPr>
      </w:pPr>
      <w:r w:rsidRPr="00E9320F">
        <w:t xml:space="preserve">In RAN2-113bis meeting, there is no conclusion </w:t>
      </w:r>
      <w:r w:rsidR="0030583B">
        <w:t xml:space="preserve">on </w:t>
      </w:r>
      <w:r w:rsidRPr="00E9320F">
        <w:t xml:space="preserve">enhancements </w:t>
      </w:r>
      <w:r w:rsidR="0030583B">
        <w:t>of</w:t>
      </w:r>
      <w:r w:rsidRPr="00E9320F">
        <w:t xml:space="preserve"> disabling HARQ. In our view,</w:t>
      </w:r>
      <w:r w:rsidRPr="00C5459E">
        <w:t xml:space="preserve"> </w:t>
      </w:r>
      <w:r w:rsidRPr="00E9320F">
        <w:t>it depends on whether the use case intermittent delay-tolerant small packet transmissions can be agreed as working assumption</w:t>
      </w:r>
      <w:r w:rsidRPr="00F76427">
        <w:t>.</w:t>
      </w:r>
      <w:r w:rsidR="003A30C7">
        <w:t xml:space="preserve"> If the expected IoT over NTN service do not require high thought and are delay tolerant, it seems legacy HARQ mechanism can be re-used.</w:t>
      </w:r>
    </w:p>
    <w:p w14:paraId="62E82FA5" w14:textId="4EA28F52" w:rsidR="0067620B" w:rsidRPr="00D8692F" w:rsidRDefault="00D8692F" w:rsidP="007A2E55">
      <w:pPr>
        <w:rPr>
          <w:b/>
          <w:bCs/>
        </w:rPr>
      </w:pPr>
      <w:r w:rsidRPr="00D8692F">
        <w:rPr>
          <w:b/>
          <w:bCs/>
        </w:rPr>
        <w:t xml:space="preserve">Proposal </w:t>
      </w:r>
      <w:r w:rsidR="005A5961">
        <w:rPr>
          <w:b/>
          <w:bCs/>
        </w:rPr>
        <w:t>8</w:t>
      </w:r>
      <w:r w:rsidRPr="00D8692F">
        <w:rPr>
          <w:b/>
          <w:bCs/>
        </w:rPr>
        <w:t>: The throughput and latency requirement should be agreed first to decide HARQ enhancements for IoT NTN.</w:t>
      </w:r>
    </w:p>
    <w:p w14:paraId="2A33948F" w14:textId="77777777" w:rsidR="00267083" w:rsidRPr="00EB142E" w:rsidRDefault="00267083" w:rsidP="00EB142E">
      <w:pPr>
        <w:spacing w:after="200" w:line="276" w:lineRule="auto"/>
        <w:rPr>
          <w:rFonts w:ascii="Arial" w:hAnsi="Arial" w:cs="Arial"/>
          <w:sz w:val="28"/>
          <w:szCs w:val="28"/>
        </w:rPr>
      </w:pPr>
      <w:r w:rsidRPr="00EB142E">
        <w:rPr>
          <w:rFonts w:ascii="Arial" w:hAnsi="Arial" w:cs="Arial"/>
          <w:sz w:val="28"/>
          <w:szCs w:val="28"/>
        </w:rPr>
        <w:t>Dedicated scheduling request for NB-IoT</w:t>
      </w:r>
    </w:p>
    <w:p w14:paraId="17D6F5C3" w14:textId="77777777" w:rsidR="00267083" w:rsidRDefault="00267083" w:rsidP="00267083">
      <w:pPr>
        <w:jc w:val="both"/>
      </w:pPr>
      <w:r>
        <w:t>In release 15, the use of dedicated scheduling request for NB-IoT was introduced. Prior to that, the UE had to use random access to request uplink resources to send a buffer status report (BSR). With the new feature, the UE may piggyback a scheduling request in HARQ ACK/NACK feedback. This reduces signalling overhead and latency, which also leads to improved UE battery life.</w:t>
      </w:r>
    </w:p>
    <w:p w14:paraId="6A39549E" w14:textId="29E1A6B3" w:rsidR="00267083" w:rsidRDefault="00C5459E" w:rsidP="00267083">
      <w:pPr>
        <w:jc w:val="both"/>
      </w:pPr>
      <w:r>
        <w:t>For DL, i</w:t>
      </w:r>
      <w:r w:rsidR="00267083" w:rsidRPr="00F76427">
        <w:t>f HARQ feedback disabling is supported, there will be issue on SR transmission which is piggyback with HARQ ACK/NACK since there is no HARQ feedback</w:t>
      </w:r>
      <w:r w:rsidR="00267083">
        <w:t xml:space="preserve"> anymore.</w:t>
      </w:r>
    </w:p>
    <w:p w14:paraId="34702AEF" w14:textId="50C4DA1F" w:rsidR="00267083" w:rsidRPr="00FE790A" w:rsidRDefault="00267083" w:rsidP="00267083">
      <w:pPr>
        <w:jc w:val="both"/>
        <w:rPr>
          <w:b/>
          <w:bCs/>
        </w:rPr>
      </w:pPr>
      <w:r w:rsidRPr="00FE790A">
        <w:rPr>
          <w:b/>
          <w:bCs/>
        </w:rPr>
        <w:t xml:space="preserve">Proposal </w:t>
      </w:r>
      <w:r w:rsidR="005A5961">
        <w:rPr>
          <w:b/>
          <w:bCs/>
        </w:rPr>
        <w:t>9</w:t>
      </w:r>
      <w:r w:rsidRPr="00FE790A">
        <w:rPr>
          <w:b/>
          <w:bCs/>
        </w:rPr>
        <w:t>: RAN2 to study dedicated scheduling request for NB-IoT with HARQ feedback disabled.</w:t>
      </w:r>
    </w:p>
    <w:p w14:paraId="05387B6C" w14:textId="47818E25" w:rsidR="00267083" w:rsidRDefault="00267083" w:rsidP="007A2E55"/>
    <w:p w14:paraId="5FF2457F" w14:textId="2978196B" w:rsidR="00A209D6" w:rsidRPr="006E13D1" w:rsidRDefault="0031697A" w:rsidP="00A209D6">
      <w:pPr>
        <w:pStyle w:val="Heading1"/>
      </w:pPr>
      <w:r>
        <w:t>3</w:t>
      </w:r>
      <w:r w:rsidR="00A209D6" w:rsidRPr="006E13D1">
        <w:tab/>
      </w:r>
      <w:r w:rsidR="008C3057">
        <w:t>Conclusion</w:t>
      </w:r>
    </w:p>
    <w:p w14:paraId="3A2BDDF7" w14:textId="77777777" w:rsidR="00721359" w:rsidRPr="006E13D1" w:rsidRDefault="00721359" w:rsidP="00721359">
      <w:r>
        <w:t>This document has made the following observations:</w:t>
      </w:r>
    </w:p>
    <w:p w14:paraId="4A8B009D" w14:textId="7635698F" w:rsidR="00A97959" w:rsidRDefault="00A97959" w:rsidP="00A97959">
      <w:pPr>
        <w:rPr>
          <w:b/>
          <w:bCs/>
        </w:rPr>
      </w:pPr>
      <w:r w:rsidRPr="00A31FAF">
        <w:rPr>
          <w:b/>
          <w:bCs/>
        </w:rPr>
        <w:t>Observation</w:t>
      </w:r>
      <w:r>
        <w:rPr>
          <w:b/>
          <w:bCs/>
        </w:rPr>
        <w:t xml:space="preserve"> 1</w:t>
      </w:r>
      <w:r w:rsidRPr="00A31FAF">
        <w:rPr>
          <w:b/>
          <w:bCs/>
        </w:rPr>
        <w:t>: NTN cell mobility will have significant impact on energy consumption for eDRX operation due to increased system information re-acquisition.</w:t>
      </w:r>
    </w:p>
    <w:p w14:paraId="24AE3B56" w14:textId="77777777" w:rsidR="00721359" w:rsidRPr="006A5E40" w:rsidRDefault="00721359" w:rsidP="00721359">
      <w:pPr>
        <w:rPr>
          <w:b/>
          <w:bCs/>
        </w:rPr>
      </w:pPr>
      <w:r w:rsidRPr="006A5E40">
        <w:rPr>
          <w:b/>
          <w:bCs/>
        </w:rPr>
        <w:t xml:space="preserve">Observation </w:t>
      </w:r>
      <w:r>
        <w:rPr>
          <w:b/>
          <w:bCs/>
        </w:rPr>
        <w:t>2</w:t>
      </w:r>
      <w:r w:rsidRPr="006A5E40">
        <w:rPr>
          <w:b/>
          <w:bCs/>
        </w:rPr>
        <w:t>: Power consumption reduction for PSM operation depends on GNSS operation interworking and system information acquisition enhancements under consideration in this study item.</w:t>
      </w:r>
    </w:p>
    <w:p w14:paraId="4B27154D" w14:textId="5185966C" w:rsidR="00721359" w:rsidRDefault="00721359" w:rsidP="00721359">
      <w:pPr>
        <w:rPr>
          <w:b/>
          <w:bCs/>
        </w:rPr>
      </w:pPr>
      <w:r>
        <w:rPr>
          <w:b/>
          <w:bCs/>
        </w:rPr>
        <w:t>Observation 3</w:t>
      </w:r>
      <w:r w:rsidRPr="00C17BE5">
        <w:rPr>
          <w:b/>
          <w:bCs/>
        </w:rPr>
        <w:t xml:space="preserve">: </w:t>
      </w:r>
      <w:r>
        <w:rPr>
          <w:b/>
          <w:bCs/>
        </w:rPr>
        <w:t>Release assistance Information for fast connection release may be beneficial to avoid network activating NTN specific connected mode features for shorter data transmissions.</w:t>
      </w:r>
    </w:p>
    <w:p w14:paraId="35691A9E" w14:textId="77777777" w:rsidR="00721359" w:rsidRDefault="00721359" w:rsidP="00721359">
      <w:pPr>
        <w:rPr>
          <w:b/>
          <w:bCs/>
        </w:rPr>
      </w:pPr>
      <w:r>
        <w:rPr>
          <w:b/>
          <w:bCs/>
        </w:rPr>
        <w:t>Observation 4: Multiple transport block scheduling enable faster delivery of multiple packets for moving cell scenario.</w:t>
      </w:r>
    </w:p>
    <w:p w14:paraId="1093F0EC" w14:textId="77777777" w:rsidR="00721359" w:rsidRPr="004F4540" w:rsidRDefault="00721359" w:rsidP="00721359">
      <w:pPr>
        <w:rPr>
          <w:bCs/>
        </w:rPr>
      </w:pPr>
      <w:r>
        <w:rPr>
          <w:bCs/>
        </w:rPr>
        <w:t>And proposed the following:</w:t>
      </w:r>
    </w:p>
    <w:p w14:paraId="51A36F1C" w14:textId="5978BC9F" w:rsidR="00A97959" w:rsidRPr="006376A3" w:rsidRDefault="00A97959" w:rsidP="00A97959">
      <w:r w:rsidRPr="00A31FAF">
        <w:rPr>
          <w:b/>
          <w:bCs/>
        </w:rPr>
        <w:t>Proposal</w:t>
      </w:r>
      <w:r>
        <w:rPr>
          <w:b/>
          <w:bCs/>
        </w:rPr>
        <w:t xml:space="preserve"> 1</w:t>
      </w:r>
      <w:r w:rsidRPr="00A31FAF">
        <w:rPr>
          <w:b/>
          <w:bCs/>
        </w:rPr>
        <w:t>: RAN2 to consider enhancements to minimise the system information acquisition for eDRX operation as part of the study Item.</w:t>
      </w:r>
    </w:p>
    <w:p w14:paraId="05EA6A7B" w14:textId="3D580336" w:rsidR="00A97959" w:rsidRPr="00C17BE5" w:rsidRDefault="00A97959" w:rsidP="00A97959">
      <w:pPr>
        <w:jc w:val="both"/>
        <w:rPr>
          <w:b/>
          <w:bCs/>
        </w:rPr>
      </w:pPr>
      <w:r w:rsidRPr="00C17BE5">
        <w:rPr>
          <w:b/>
          <w:bCs/>
        </w:rPr>
        <w:t xml:space="preserve">Proposal 2: RAN2 to consider </w:t>
      </w:r>
      <w:r>
        <w:rPr>
          <w:b/>
          <w:bCs/>
        </w:rPr>
        <w:t>the enhancements on</w:t>
      </w:r>
      <w:r w:rsidRPr="00C17BE5">
        <w:rPr>
          <w:b/>
          <w:bCs/>
        </w:rPr>
        <w:t xml:space="preserve"> Group Wake-Up Signal for NTN </w:t>
      </w:r>
      <w:r>
        <w:rPr>
          <w:b/>
          <w:bCs/>
        </w:rPr>
        <w:t xml:space="preserve">such as </w:t>
      </w:r>
      <w:r w:rsidRPr="0013068E">
        <w:rPr>
          <w:b/>
          <w:bCs/>
        </w:rPr>
        <w:t>applicabi</w:t>
      </w:r>
      <w:r>
        <w:rPr>
          <w:b/>
          <w:bCs/>
        </w:rPr>
        <w:t>lity</w:t>
      </w:r>
      <w:r w:rsidRPr="0013068E">
        <w:rPr>
          <w:rFonts w:eastAsia="Times New Roman"/>
          <w:b/>
          <w:bCs/>
        </w:rPr>
        <w:t xml:space="preserve"> in the cases of moving cell </w:t>
      </w:r>
      <w:r>
        <w:rPr>
          <w:b/>
          <w:bCs/>
        </w:rPr>
        <w:t>and GNSS measurement gap when using GWUS</w:t>
      </w:r>
      <w:r w:rsidRPr="00C17BE5">
        <w:rPr>
          <w:b/>
          <w:bCs/>
        </w:rPr>
        <w:t>.</w:t>
      </w:r>
    </w:p>
    <w:p w14:paraId="5D50A680" w14:textId="77777777" w:rsidR="00A97959" w:rsidRPr="00C17BE5" w:rsidRDefault="00A97959" w:rsidP="00A97959">
      <w:pPr>
        <w:jc w:val="both"/>
        <w:rPr>
          <w:b/>
          <w:bCs/>
        </w:rPr>
      </w:pPr>
      <w:r w:rsidRPr="00C17BE5">
        <w:rPr>
          <w:b/>
          <w:bCs/>
        </w:rPr>
        <w:t xml:space="preserve">Proposal </w:t>
      </w:r>
      <w:r>
        <w:rPr>
          <w:b/>
          <w:bCs/>
        </w:rPr>
        <w:t>3</w:t>
      </w:r>
      <w:r w:rsidRPr="00C17BE5">
        <w:rPr>
          <w:b/>
          <w:bCs/>
        </w:rPr>
        <w:t xml:space="preserve">: </w:t>
      </w:r>
      <w:r>
        <w:rPr>
          <w:b/>
          <w:bCs/>
        </w:rPr>
        <w:t>RAN2 to consider further modifications to the relaxed monitoring functionality to improve the UE power saving for moving cell scenario.</w:t>
      </w:r>
    </w:p>
    <w:p w14:paraId="7A105DAE" w14:textId="77777777" w:rsidR="00A97959" w:rsidRDefault="00A97959" w:rsidP="00A97959">
      <w:pPr>
        <w:rPr>
          <w:b/>
          <w:bCs/>
        </w:rPr>
      </w:pPr>
      <w:r w:rsidRPr="006A5E40">
        <w:rPr>
          <w:b/>
          <w:bCs/>
        </w:rPr>
        <w:t xml:space="preserve">Proposal </w:t>
      </w:r>
      <w:r>
        <w:rPr>
          <w:b/>
          <w:bCs/>
        </w:rPr>
        <w:t>4</w:t>
      </w:r>
      <w:r w:rsidRPr="006A5E40">
        <w:rPr>
          <w:b/>
          <w:bCs/>
        </w:rPr>
        <w:t>: Applicability of CHO for UE in CE-Mode-B should be decided based on RAN4 analysis on measurement accuracy of CE</w:t>
      </w:r>
      <w:r>
        <w:rPr>
          <w:b/>
          <w:bCs/>
        </w:rPr>
        <w:t xml:space="preserve"> </w:t>
      </w:r>
      <w:r w:rsidRPr="006A5E40">
        <w:rPr>
          <w:b/>
          <w:bCs/>
        </w:rPr>
        <w:t>Mode-B for CHO evaluation.</w:t>
      </w:r>
    </w:p>
    <w:p w14:paraId="60E6CC9A" w14:textId="77777777" w:rsidR="00A97959" w:rsidRDefault="00A97959" w:rsidP="00A97959">
      <w:pPr>
        <w:rPr>
          <w:lang w:val="en-US"/>
        </w:rPr>
      </w:pPr>
      <w:r w:rsidRPr="00265E75">
        <w:rPr>
          <w:b/>
          <w:bCs/>
        </w:rPr>
        <w:t xml:space="preserve">Proposal </w:t>
      </w:r>
      <w:r>
        <w:rPr>
          <w:b/>
          <w:bCs/>
        </w:rPr>
        <w:t>5</w:t>
      </w:r>
      <w:r w:rsidRPr="00265E75">
        <w:rPr>
          <w:b/>
          <w:bCs/>
        </w:rPr>
        <w:t xml:space="preserve">: </w:t>
      </w:r>
      <w:r>
        <w:rPr>
          <w:b/>
          <w:bCs/>
        </w:rPr>
        <w:t>Inclusion of network assistance information about potential target cells of RLF should be considered if RAN2 decides to enhance RLF and re-establishment procedures for IoT-NTN.</w:t>
      </w:r>
      <w:r w:rsidRPr="00C17BE5">
        <w:rPr>
          <w:b/>
          <w:bCs/>
        </w:rPr>
        <w:t xml:space="preserve">Proposal </w:t>
      </w:r>
      <w:r>
        <w:rPr>
          <w:b/>
          <w:bCs/>
        </w:rPr>
        <w:t>6</w:t>
      </w:r>
      <w:r w:rsidRPr="00C17BE5">
        <w:rPr>
          <w:b/>
          <w:bCs/>
        </w:rPr>
        <w:t>: RAN2 to consider</w:t>
      </w:r>
      <w:r>
        <w:rPr>
          <w:b/>
          <w:bCs/>
        </w:rPr>
        <w:t xml:space="preserve"> fast </w:t>
      </w:r>
      <w:r>
        <w:rPr>
          <w:rFonts w:eastAsia="Times New Roman"/>
          <w:b/>
          <w:bCs/>
        </w:rPr>
        <w:t xml:space="preserve">coverage </w:t>
      </w:r>
      <w:r>
        <w:rPr>
          <w:b/>
          <w:bCs/>
        </w:rPr>
        <w:t>level reporting for UE in RRC Connected State.</w:t>
      </w:r>
    </w:p>
    <w:p w14:paraId="4FF4BA7E" w14:textId="12B46581" w:rsidR="00142C4F" w:rsidRPr="00EB142E" w:rsidRDefault="00142C4F" w:rsidP="00A97959">
      <w:pPr>
        <w:rPr>
          <w:lang w:val="en-US"/>
        </w:rPr>
      </w:pPr>
      <w:r w:rsidRPr="00C17BE5">
        <w:rPr>
          <w:b/>
          <w:bCs/>
        </w:rPr>
        <w:lastRenderedPageBreak/>
        <w:t xml:space="preserve">Proposal </w:t>
      </w:r>
      <w:r>
        <w:rPr>
          <w:b/>
          <w:bCs/>
        </w:rPr>
        <w:t>6</w:t>
      </w:r>
      <w:r w:rsidRPr="00C17BE5">
        <w:rPr>
          <w:b/>
          <w:bCs/>
        </w:rPr>
        <w:t>: RAN2 to consider</w:t>
      </w:r>
      <w:r>
        <w:rPr>
          <w:b/>
          <w:bCs/>
        </w:rPr>
        <w:t xml:space="preserve"> fast </w:t>
      </w:r>
      <w:r>
        <w:rPr>
          <w:rFonts w:eastAsia="Times New Roman"/>
          <w:b/>
          <w:bCs/>
        </w:rPr>
        <w:t xml:space="preserve">coverage </w:t>
      </w:r>
      <w:r>
        <w:rPr>
          <w:b/>
          <w:bCs/>
        </w:rPr>
        <w:t>level reporting for UE in RRC Connected State.</w:t>
      </w:r>
    </w:p>
    <w:p w14:paraId="025A3EE4" w14:textId="1D39DD8A" w:rsidR="00A97959" w:rsidRDefault="00A97959" w:rsidP="00A97959">
      <w:pPr>
        <w:rPr>
          <w:lang w:val="en-US"/>
        </w:rPr>
      </w:pPr>
      <w:r>
        <w:rPr>
          <w:b/>
          <w:bCs/>
        </w:rPr>
        <w:t>Proposal 7: RAI and Multiple transport block features are considered for Rel-17 WI scope without additional specification changes.</w:t>
      </w:r>
    </w:p>
    <w:p w14:paraId="5B2B6474" w14:textId="77777777" w:rsidR="00A97959" w:rsidRPr="00D8692F" w:rsidRDefault="00A97959" w:rsidP="00A97959">
      <w:pPr>
        <w:rPr>
          <w:b/>
          <w:bCs/>
        </w:rPr>
      </w:pPr>
      <w:r w:rsidRPr="00D8692F">
        <w:rPr>
          <w:b/>
          <w:bCs/>
        </w:rPr>
        <w:t xml:space="preserve">Proposal </w:t>
      </w:r>
      <w:r>
        <w:rPr>
          <w:b/>
          <w:bCs/>
        </w:rPr>
        <w:t>8</w:t>
      </w:r>
      <w:r w:rsidRPr="00D8692F">
        <w:rPr>
          <w:b/>
          <w:bCs/>
        </w:rPr>
        <w:t>: The throughput and latency requirement should be agreed first to decide HARQ enhancements for IoT NTN.</w:t>
      </w:r>
    </w:p>
    <w:p w14:paraId="2AB995C1" w14:textId="77777777" w:rsidR="00A97959" w:rsidRPr="00FE790A" w:rsidRDefault="00A97959" w:rsidP="00A97959">
      <w:pPr>
        <w:jc w:val="both"/>
        <w:rPr>
          <w:b/>
          <w:bCs/>
        </w:rPr>
      </w:pPr>
      <w:r w:rsidRPr="00FE790A">
        <w:rPr>
          <w:b/>
          <w:bCs/>
        </w:rPr>
        <w:t xml:space="preserve">Proposal </w:t>
      </w:r>
      <w:r>
        <w:rPr>
          <w:b/>
          <w:bCs/>
        </w:rPr>
        <w:t>9</w:t>
      </w:r>
      <w:r w:rsidRPr="00FE790A">
        <w:rPr>
          <w:b/>
          <w:bCs/>
        </w:rPr>
        <w:t>: RAN2 to study dedicated scheduling request for NB-IoT with HARQ feedback disabled.</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7AA812" w14:textId="77777777" w:rsidR="003F4468" w:rsidRDefault="003F4468">
      <w:r>
        <w:separator/>
      </w:r>
    </w:p>
  </w:endnote>
  <w:endnote w:type="continuationSeparator" w:id="0">
    <w:p w14:paraId="33BA179D" w14:textId="77777777" w:rsidR="003F4468" w:rsidRDefault="003F4468">
      <w:r>
        <w:continuationSeparator/>
      </w:r>
    </w:p>
  </w:endnote>
  <w:endnote w:type="continuationNotice" w:id="1">
    <w:p w14:paraId="03E512C5" w14:textId="77777777" w:rsidR="003F4468" w:rsidRDefault="003F44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506BF2" w14:textId="77777777" w:rsidR="003F4468" w:rsidRDefault="003F4468">
      <w:r>
        <w:separator/>
      </w:r>
    </w:p>
  </w:footnote>
  <w:footnote w:type="continuationSeparator" w:id="0">
    <w:p w14:paraId="42B8203B" w14:textId="77777777" w:rsidR="003F4468" w:rsidRDefault="003F4468">
      <w:r>
        <w:continuationSeparator/>
      </w:r>
    </w:p>
  </w:footnote>
  <w:footnote w:type="continuationNotice" w:id="1">
    <w:p w14:paraId="5DA90E01" w14:textId="77777777" w:rsidR="003F4468" w:rsidRDefault="003F44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8559E0"/>
    <w:multiLevelType w:val="hybridMultilevel"/>
    <w:tmpl w:val="5FBC1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22BE9"/>
    <w:multiLevelType w:val="hybridMultilevel"/>
    <w:tmpl w:val="64E62932"/>
    <w:lvl w:ilvl="0" w:tplc="BF26A114">
      <w:start w:val="1"/>
      <w:numFmt w:val="bullet"/>
      <w:lvlText w:val="•"/>
      <w:lvlJc w:val="left"/>
      <w:pPr>
        <w:tabs>
          <w:tab w:val="num" w:pos="720"/>
        </w:tabs>
        <w:ind w:left="720" w:hanging="360"/>
      </w:pPr>
      <w:rPr>
        <w:rFonts w:ascii="Arial" w:hAnsi="Arial" w:hint="default"/>
      </w:rPr>
    </w:lvl>
    <w:lvl w:ilvl="1" w:tplc="04B02950">
      <w:start w:val="1"/>
      <w:numFmt w:val="bullet"/>
      <w:lvlText w:val="•"/>
      <w:lvlJc w:val="left"/>
      <w:pPr>
        <w:tabs>
          <w:tab w:val="num" w:pos="1440"/>
        </w:tabs>
        <w:ind w:left="1440" w:hanging="360"/>
      </w:pPr>
      <w:rPr>
        <w:rFonts w:ascii="Arial" w:hAnsi="Arial" w:hint="default"/>
      </w:rPr>
    </w:lvl>
    <w:lvl w:ilvl="2" w:tplc="45F06864" w:tentative="1">
      <w:start w:val="1"/>
      <w:numFmt w:val="bullet"/>
      <w:lvlText w:val="•"/>
      <w:lvlJc w:val="left"/>
      <w:pPr>
        <w:tabs>
          <w:tab w:val="num" w:pos="2160"/>
        </w:tabs>
        <w:ind w:left="2160" w:hanging="360"/>
      </w:pPr>
      <w:rPr>
        <w:rFonts w:ascii="Arial" w:hAnsi="Arial" w:hint="default"/>
      </w:rPr>
    </w:lvl>
    <w:lvl w:ilvl="3" w:tplc="65C01156" w:tentative="1">
      <w:start w:val="1"/>
      <w:numFmt w:val="bullet"/>
      <w:lvlText w:val="•"/>
      <w:lvlJc w:val="left"/>
      <w:pPr>
        <w:tabs>
          <w:tab w:val="num" w:pos="2880"/>
        </w:tabs>
        <w:ind w:left="2880" w:hanging="360"/>
      </w:pPr>
      <w:rPr>
        <w:rFonts w:ascii="Arial" w:hAnsi="Arial" w:hint="default"/>
      </w:rPr>
    </w:lvl>
    <w:lvl w:ilvl="4" w:tplc="6B24DC9E" w:tentative="1">
      <w:start w:val="1"/>
      <w:numFmt w:val="bullet"/>
      <w:lvlText w:val="•"/>
      <w:lvlJc w:val="left"/>
      <w:pPr>
        <w:tabs>
          <w:tab w:val="num" w:pos="3600"/>
        </w:tabs>
        <w:ind w:left="3600" w:hanging="360"/>
      </w:pPr>
      <w:rPr>
        <w:rFonts w:ascii="Arial" w:hAnsi="Arial" w:hint="default"/>
      </w:rPr>
    </w:lvl>
    <w:lvl w:ilvl="5" w:tplc="5C4E97D0" w:tentative="1">
      <w:start w:val="1"/>
      <w:numFmt w:val="bullet"/>
      <w:lvlText w:val="•"/>
      <w:lvlJc w:val="left"/>
      <w:pPr>
        <w:tabs>
          <w:tab w:val="num" w:pos="4320"/>
        </w:tabs>
        <w:ind w:left="4320" w:hanging="360"/>
      </w:pPr>
      <w:rPr>
        <w:rFonts w:ascii="Arial" w:hAnsi="Arial" w:hint="default"/>
      </w:rPr>
    </w:lvl>
    <w:lvl w:ilvl="6" w:tplc="8E4C9E06" w:tentative="1">
      <w:start w:val="1"/>
      <w:numFmt w:val="bullet"/>
      <w:lvlText w:val="•"/>
      <w:lvlJc w:val="left"/>
      <w:pPr>
        <w:tabs>
          <w:tab w:val="num" w:pos="5040"/>
        </w:tabs>
        <w:ind w:left="5040" w:hanging="360"/>
      </w:pPr>
      <w:rPr>
        <w:rFonts w:ascii="Arial" w:hAnsi="Arial" w:hint="default"/>
      </w:rPr>
    </w:lvl>
    <w:lvl w:ilvl="7" w:tplc="E8663B22" w:tentative="1">
      <w:start w:val="1"/>
      <w:numFmt w:val="bullet"/>
      <w:lvlText w:val="•"/>
      <w:lvlJc w:val="left"/>
      <w:pPr>
        <w:tabs>
          <w:tab w:val="num" w:pos="5760"/>
        </w:tabs>
        <w:ind w:left="5760" w:hanging="360"/>
      </w:pPr>
      <w:rPr>
        <w:rFonts w:ascii="Arial" w:hAnsi="Arial" w:hint="default"/>
      </w:rPr>
    </w:lvl>
    <w:lvl w:ilvl="8" w:tplc="DBAE4D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342172"/>
    <w:multiLevelType w:val="hybridMultilevel"/>
    <w:tmpl w:val="9F180CE0"/>
    <w:lvl w:ilvl="0" w:tplc="2FCAD61A">
      <w:start w:val="1"/>
      <w:numFmt w:val="bullet"/>
      <w:lvlText w:val="•"/>
      <w:lvlJc w:val="left"/>
      <w:pPr>
        <w:tabs>
          <w:tab w:val="num" w:pos="720"/>
        </w:tabs>
        <w:ind w:left="720" w:hanging="360"/>
      </w:pPr>
      <w:rPr>
        <w:rFonts w:ascii="Times New Roman" w:hAnsi="Times New Roman" w:hint="default"/>
      </w:rPr>
    </w:lvl>
    <w:lvl w:ilvl="1" w:tplc="363AC4C2" w:tentative="1">
      <w:start w:val="1"/>
      <w:numFmt w:val="bullet"/>
      <w:lvlText w:val="•"/>
      <w:lvlJc w:val="left"/>
      <w:pPr>
        <w:tabs>
          <w:tab w:val="num" w:pos="1440"/>
        </w:tabs>
        <w:ind w:left="1440" w:hanging="360"/>
      </w:pPr>
      <w:rPr>
        <w:rFonts w:ascii="Times New Roman" w:hAnsi="Times New Roman" w:hint="default"/>
      </w:rPr>
    </w:lvl>
    <w:lvl w:ilvl="2" w:tplc="BBE84E0E">
      <w:start w:val="1"/>
      <w:numFmt w:val="bullet"/>
      <w:lvlText w:val="•"/>
      <w:lvlJc w:val="left"/>
      <w:pPr>
        <w:tabs>
          <w:tab w:val="num" w:pos="2160"/>
        </w:tabs>
        <w:ind w:left="2160" w:hanging="360"/>
      </w:pPr>
      <w:rPr>
        <w:rFonts w:ascii="Times New Roman" w:hAnsi="Times New Roman" w:hint="default"/>
      </w:rPr>
    </w:lvl>
    <w:lvl w:ilvl="3" w:tplc="F620C88C">
      <w:numFmt w:val="bullet"/>
      <w:lvlText w:val="–"/>
      <w:lvlJc w:val="left"/>
      <w:pPr>
        <w:tabs>
          <w:tab w:val="num" w:pos="2880"/>
        </w:tabs>
        <w:ind w:left="2880" w:hanging="360"/>
      </w:pPr>
      <w:rPr>
        <w:rFonts w:ascii="Times New Roman" w:hAnsi="Times New Roman" w:hint="default"/>
      </w:rPr>
    </w:lvl>
    <w:lvl w:ilvl="4" w:tplc="3E18ADB8" w:tentative="1">
      <w:start w:val="1"/>
      <w:numFmt w:val="bullet"/>
      <w:lvlText w:val="•"/>
      <w:lvlJc w:val="left"/>
      <w:pPr>
        <w:tabs>
          <w:tab w:val="num" w:pos="3600"/>
        </w:tabs>
        <w:ind w:left="3600" w:hanging="360"/>
      </w:pPr>
      <w:rPr>
        <w:rFonts w:ascii="Times New Roman" w:hAnsi="Times New Roman" w:hint="default"/>
      </w:rPr>
    </w:lvl>
    <w:lvl w:ilvl="5" w:tplc="1CF8A88C" w:tentative="1">
      <w:start w:val="1"/>
      <w:numFmt w:val="bullet"/>
      <w:lvlText w:val="•"/>
      <w:lvlJc w:val="left"/>
      <w:pPr>
        <w:tabs>
          <w:tab w:val="num" w:pos="4320"/>
        </w:tabs>
        <w:ind w:left="4320" w:hanging="360"/>
      </w:pPr>
      <w:rPr>
        <w:rFonts w:ascii="Times New Roman" w:hAnsi="Times New Roman" w:hint="default"/>
      </w:rPr>
    </w:lvl>
    <w:lvl w:ilvl="6" w:tplc="AA40CCE6" w:tentative="1">
      <w:start w:val="1"/>
      <w:numFmt w:val="bullet"/>
      <w:lvlText w:val="•"/>
      <w:lvlJc w:val="left"/>
      <w:pPr>
        <w:tabs>
          <w:tab w:val="num" w:pos="5040"/>
        </w:tabs>
        <w:ind w:left="5040" w:hanging="360"/>
      </w:pPr>
      <w:rPr>
        <w:rFonts w:ascii="Times New Roman" w:hAnsi="Times New Roman" w:hint="default"/>
      </w:rPr>
    </w:lvl>
    <w:lvl w:ilvl="7" w:tplc="1BC23DEC" w:tentative="1">
      <w:start w:val="1"/>
      <w:numFmt w:val="bullet"/>
      <w:lvlText w:val="•"/>
      <w:lvlJc w:val="left"/>
      <w:pPr>
        <w:tabs>
          <w:tab w:val="num" w:pos="5760"/>
        </w:tabs>
        <w:ind w:left="5760" w:hanging="360"/>
      </w:pPr>
      <w:rPr>
        <w:rFonts w:ascii="Times New Roman" w:hAnsi="Times New Roman" w:hint="default"/>
      </w:rPr>
    </w:lvl>
    <w:lvl w:ilvl="8" w:tplc="E460D96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F657E5A"/>
    <w:multiLevelType w:val="hybridMultilevel"/>
    <w:tmpl w:val="245C5924"/>
    <w:lvl w:ilvl="0" w:tplc="177410C8">
      <w:start w:val="1"/>
      <w:numFmt w:val="bullet"/>
      <w:lvlText w:val="•"/>
      <w:lvlJc w:val="left"/>
      <w:pPr>
        <w:tabs>
          <w:tab w:val="num" w:pos="720"/>
        </w:tabs>
        <w:ind w:left="720" w:hanging="360"/>
      </w:pPr>
      <w:rPr>
        <w:rFonts w:ascii="Arial" w:hAnsi="Arial" w:hint="default"/>
      </w:rPr>
    </w:lvl>
    <w:lvl w:ilvl="1" w:tplc="4B14A6D0" w:tentative="1">
      <w:start w:val="1"/>
      <w:numFmt w:val="bullet"/>
      <w:lvlText w:val="•"/>
      <w:lvlJc w:val="left"/>
      <w:pPr>
        <w:tabs>
          <w:tab w:val="num" w:pos="1440"/>
        </w:tabs>
        <w:ind w:left="1440" w:hanging="360"/>
      </w:pPr>
      <w:rPr>
        <w:rFonts w:ascii="Arial" w:hAnsi="Arial" w:hint="default"/>
      </w:rPr>
    </w:lvl>
    <w:lvl w:ilvl="2" w:tplc="2AC6516C" w:tentative="1">
      <w:start w:val="1"/>
      <w:numFmt w:val="bullet"/>
      <w:lvlText w:val="•"/>
      <w:lvlJc w:val="left"/>
      <w:pPr>
        <w:tabs>
          <w:tab w:val="num" w:pos="2160"/>
        </w:tabs>
        <w:ind w:left="2160" w:hanging="360"/>
      </w:pPr>
      <w:rPr>
        <w:rFonts w:ascii="Arial" w:hAnsi="Arial" w:hint="default"/>
      </w:rPr>
    </w:lvl>
    <w:lvl w:ilvl="3" w:tplc="F75ABA4E" w:tentative="1">
      <w:start w:val="1"/>
      <w:numFmt w:val="bullet"/>
      <w:lvlText w:val="•"/>
      <w:lvlJc w:val="left"/>
      <w:pPr>
        <w:tabs>
          <w:tab w:val="num" w:pos="2880"/>
        </w:tabs>
        <w:ind w:left="2880" w:hanging="360"/>
      </w:pPr>
      <w:rPr>
        <w:rFonts w:ascii="Arial" w:hAnsi="Arial" w:hint="default"/>
      </w:rPr>
    </w:lvl>
    <w:lvl w:ilvl="4" w:tplc="C538888E" w:tentative="1">
      <w:start w:val="1"/>
      <w:numFmt w:val="bullet"/>
      <w:lvlText w:val="•"/>
      <w:lvlJc w:val="left"/>
      <w:pPr>
        <w:tabs>
          <w:tab w:val="num" w:pos="3600"/>
        </w:tabs>
        <w:ind w:left="3600" w:hanging="360"/>
      </w:pPr>
      <w:rPr>
        <w:rFonts w:ascii="Arial" w:hAnsi="Arial" w:hint="default"/>
      </w:rPr>
    </w:lvl>
    <w:lvl w:ilvl="5" w:tplc="2D848D82" w:tentative="1">
      <w:start w:val="1"/>
      <w:numFmt w:val="bullet"/>
      <w:lvlText w:val="•"/>
      <w:lvlJc w:val="left"/>
      <w:pPr>
        <w:tabs>
          <w:tab w:val="num" w:pos="4320"/>
        </w:tabs>
        <w:ind w:left="4320" w:hanging="360"/>
      </w:pPr>
      <w:rPr>
        <w:rFonts w:ascii="Arial" w:hAnsi="Arial" w:hint="default"/>
      </w:rPr>
    </w:lvl>
    <w:lvl w:ilvl="6" w:tplc="2A881B30" w:tentative="1">
      <w:start w:val="1"/>
      <w:numFmt w:val="bullet"/>
      <w:lvlText w:val="•"/>
      <w:lvlJc w:val="left"/>
      <w:pPr>
        <w:tabs>
          <w:tab w:val="num" w:pos="5040"/>
        </w:tabs>
        <w:ind w:left="5040" w:hanging="360"/>
      </w:pPr>
      <w:rPr>
        <w:rFonts w:ascii="Arial" w:hAnsi="Arial" w:hint="default"/>
      </w:rPr>
    </w:lvl>
    <w:lvl w:ilvl="7" w:tplc="7C0686CC" w:tentative="1">
      <w:start w:val="1"/>
      <w:numFmt w:val="bullet"/>
      <w:lvlText w:val="•"/>
      <w:lvlJc w:val="left"/>
      <w:pPr>
        <w:tabs>
          <w:tab w:val="num" w:pos="5760"/>
        </w:tabs>
        <w:ind w:left="5760" w:hanging="360"/>
      </w:pPr>
      <w:rPr>
        <w:rFonts w:ascii="Arial" w:hAnsi="Arial" w:hint="default"/>
      </w:rPr>
    </w:lvl>
    <w:lvl w:ilvl="8" w:tplc="D4E4EC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8E56B5E"/>
    <w:multiLevelType w:val="hybridMultilevel"/>
    <w:tmpl w:val="136C9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25665"/>
    <w:multiLevelType w:val="hybridMultilevel"/>
    <w:tmpl w:val="6AB2928E"/>
    <w:lvl w:ilvl="0" w:tplc="DA86CE8A">
      <w:start w:val="1"/>
      <w:numFmt w:val="bullet"/>
      <w:lvlText w:val="•"/>
      <w:lvlJc w:val="left"/>
      <w:pPr>
        <w:tabs>
          <w:tab w:val="num" w:pos="720"/>
        </w:tabs>
        <w:ind w:left="720" w:hanging="360"/>
      </w:pPr>
      <w:rPr>
        <w:rFonts w:ascii="Arial" w:hAnsi="Arial" w:hint="default"/>
      </w:rPr>
    </w:lvl>
    <w:lvl w:ilvl="1" w:tplc="30C8C776">
      <w:start w:val="1"/>
      <w:numFmt w:val="bullet"/>
      <w:lvlText w:val="•"/>
      <w:lvlJc w:val="left"/>
      <w:pPr>
        <w:tabs>
          <w:tab w:val="num" w:pos="1440"/>
        </w:tabs>
        <w:ind w:left="1440" w:hanging="360"/>
      </w:pPr>
      <w:rPr>
        <w:rFonts w:ascii="Arial" w:hAnsi="Arial" w:hint="default"/>
      </w:rPr>
    </w:lvl>
    <w:lvl w:ilvl="2" w:tplc="9EC21312" w:tentative="1">
      <w:start w:val="1"/>
      <w:numFmt w:val="bullet"/>
      <w:lvlText w:val="•"/>
      <w:lvlJc w:val="left"/>
      <w:pPr>
        <w:tabs>
          <w:tab w:val="num" w:pos="2160"/>
        </w:tabs>
        <w:ind w:left="2160" w:hanging="360"/>
      </w:pPr>
      <w:rPr>
        <w:rFonts w:ascii="Arial" w:hAnsi="Arial" w:hint="default"/>
      </w:rPr>
    </w:lvl>
    <w:lvl w:ilvl="3" w:tplc="0A2698C8" w:tentative="1">
      <w:start w:val="1"/>
      <w:numFmt w:val="bullet"/>
      <w:lvlText w:val="•"/>
      <w:lvlJc w:val="left"/>
      <w:pPr>
        <w:tabs>
          <w:tab w:val="num" w:pos="2880"/>
        </w:tabs>
        <w:ind w:left="2880" w:hanging="360"/>
      </w:pPr>
      <w:rPr>
        <w:rFonts w:ascii="Arial" w:hAnsi="Arial" w:hint="default"/>
      </w:rPr>
    </w:lvl>
    <w:lvl w:ilvl="4" w:tplc="A412CE38" w:tentative="1">
      <w:start w:val="1"/>
      <w:numFmt w:val="bullet"/>
      <w:lvlText w:val="•"/>
      <w:lvlJc w:val="left"/>
      <w:pPr>
        <w:tabs>
          <w:tab w:val="num" w:pos="3600"/>
        </w:tabs>
        <w:ind w:left="3600" w:hanging="360"/>
      </w:pPr>
      <w:rPr>
        <w:rFonts w:ascii="Arial" w:hAnsi="Arial" w:hint="default"/>
      </w:rPr>
    </w:lvl>
    <w:lvl w:ilvl="5" w:tplc="DD1AC0A2" w:tentative="1">
      <w:start w:val="1"/>
      <w:numFmt w:val="bullet"/>
      <w:lvlText w:val="•"/>
      <w:lvlJc w:val="left"/>
      <w:pPr>
        <w:tabs>
          <w:tab w:val="num" w:pos="4320"/>
        </w:tabs>
        <w:ind w:left="4320" w:hanging="360"/>
      </w:pPr>
      <w:rPr>
        <w:rFonts w:ascii="Arial" w:hAnsi="Arial" w:hint="default"/>
      </w:rPr>
    </w:lvl>
    <w:lvl w:ilvl="6" w:tplc="A83A63A8" w:tentative="1">
      <w:start w:val="1"/>
      <w:numFmt w:val="bullet"/>
      <w:lvlText w:val="•"/>
      <w:lvlJc w:val="left"/>
      <w:pPr>
        <w:tabs>
          <w:tab w:val="num" w:pos="5040"/>
        </w:tabs>
        <w:ind w:left="5040" w:hanging="360"/>
      </w:pPr>
      <w:rPr>
        <w:rFonts w:ascii="Arial" w:hAnsi="Arial" w:hint="default"/>
      </w:rPr>
    </w:lvl>
    <w:lvl w:ilvl="7" w:tplc="9B660248" w:tentative="1">
      <w:start w:val="1"/>
      <w:numFmt w:val="bullet"/>
      <w:lvlText w:val="•"/>
      <w:lvlJc w:val="left"/>
      <w:pPr>
        <w:tabs>
          <w:tab w:val="num" w:pos="5760"/>
        </w:tabs>
        <w:ind w:left="5760" w:hanging="360"/>
      </w:pPr>
      <w:rPr>
        <w:rFonts w:ascii="Arial" w:hAnsi="Arial" w:hint="default"/>
      </w:rPr>
    </w:lvl>
    <w:lvl w:ilvl="8" w:tplc="F1E6A5B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0"/>
  </w:num>
  <w:num w:numId="7">
    <w:abstractNumId w:val="11"/>
  </w:num>
  <w:num w:numId="8">
    <w:abstractNumId w:val="3"/>
  </w:num>
  <w:num w:numId="9">
    <w:abstractNumId w:val="8"/>
  </w:num>
  <w:num w:numId="10">
    <w:abstractNumId w:val="12"/>
  </w:num>
  <w:num w:numId="11">
    <w:abstractNumId w:val="9"/>
  </w:num>
  <w:num w:numId="12">
    <w:abstractNumId w:val="2"/>
  </w:num>
  <w:num w:numId="13">
    <w:abstractNumId w:val="4"/>
  </w:num>
  <w:num w:numId="14">
    <w:abstractNumId w:val="5"/>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02B4"/>
    <w:rsid w:val="000218A4"/>
    <w:rsid w:val="00023C40"/>
    <w:rsid w:val="00033397"/>
    <w:rsid w:val="0003612C"/>
    <w:rsid w:val="00040095"/>
    <w:rsid w:val="0006173E"/>
    <w:rsid w:val="00065268"/>
    <w:rsid w:val="00073C9C"/>
    <w:rsid w:val="00080512"/>
    <w:rsid w:val="00090468"/>
    <w:rsid w:val="000937CC"/>
    <w:rsid w:val="00094568"/>
    <w:rsid w:val="000A14BB"/>
    <w:rsid w:val="000B7BCF"/>
    <w:rsid w:val="000C522B"/>
    <w:rsid w:val="000C5FBF"/>
    <w:rsid w:val="000D58AB"/>
    <w:rsid w:val="000F1417"/>
    <w:rsid w:val="000F58B9"/>
    <w:rsid w:val="00112F1A"/>
    <w:rsid w:val="00126108"/>
    <w:rsid w:val="00142C4F"/>
    <w:rsid w:val="00145075"/>
    <w:rsid w:val="00163B95"/>
    <w:rsid w:val="001741A0"/>
    <w:rsid w:val="00175FA0"/>
    <w:rsid w:val="00194CD0"/>
    <w:rsid w:val="00194D34"/>
    <w:rsid w:val="001A1623"/>
    <w:rsid w:val="001A526F"/>
    <w:rsid w:val="001B49C9"/>
    <w:rsid w:val="001C1157"/>
    <w:rsid w:val="001C23F4"/>
    <w:rsid w:val="001C2CA1"/>
    <w:rsid w:val="001C4F79"/>
    <w:rsid w:val="001D512B"/>
    <w:rsid w:val="001F075C"/>
    <w:rsid w:val="001F168B"/>
    <w:rsid w:val="001F6B28"/>
    <w:rsid w:val="001F7831"/>
    <w:rsid w:val="00204045"/>
    <w:rsid w:val="0020712B"/>
    <w:rsid w:val="00212ECF"/>
    <w:rsid w:val="0022606D"/>
    <w:rsid w:val="00231728"/>
    <w:rsid w:val="002362FA"/>
    <w:rsid w:val="00244A05"/>
    <w:rsid w:val="00250404"/>
    <w:rsid w:val="0025150A"/>
    <w:rsid w:val="002610D8"/>
    <w:rsid w:val="00267083"/>
    <w:rsid w:val="002747EC"/>
    <w:rsid w:val="0027496B"/>
    <w:rsid w:val="0027786F"/>
    <w:rsid w:val="00281594"/>
    <w:rsid w:val="002855BF"/>
    <w:rsid w:val="00286657"/>
    <w:rsid w:val="002C4C3A"/>
    <w:rsid w:val="002D3884"/>
    <w:rsid w:val="002E6826"/>
    <w:rsid w:val="002F0D22"/>
    <w:rsid w:val="002F5BB7"/>
    <w:rsid w:val="003004C4"/>
    <w:rsid w:val="00300725"/>
    <w:rsid w:val="0030583B"/>
    <w:rsid w:val="00307969"/>
    <w:rsid w:val="00311B17"/>
    <w:rsid w:val="0031697A"/>
    <w:rsid w:val="003172DC"/>
    <w:rsid w:val="00325AE3"/>
    <w:rsid w:val="00326069"/>
    <w:rsid w:val="00340850"/>
    <w:rsid w:val="0035462D"/>
    <w:rsid w:val="00355685"/>
    <w:rsid w:val="003635E3"/>
    <w:rsid w:val="0036459E"/>
    <w:rsid w:val="00364B41"/>
    <w:rsid w:val="00371C7B"/>
    <w:rsid w:val="00383096"/>
    <w:rsid w:val="00387CFF"/>
    <w:rsid w:val="00391E90"/>
    <w:rsid w:val="00391FA1"/>
    <w:rsid w:val="0039346C"/>
    <w:rsid w:val="003A30C7"/>
    <w:rsid w:val="003A41EF"/>
    <w:rsid w:val="003B40AD"/>
    <w:rsid w:val="003B5E37"/>
    <w:rsid w:val="003B5FB7"/>
    <w:rsid w:val="003C4E37"/>
    <w:rsid w:val="003E0CBE"/>
    <w:rsid w:val="003E16BE"/>
    <w:rsid w:val="003F4468"/>
    <w:rsid w:val="003F4E28"/>
    <w:rsid w:val="004006E8"/>
    <w:rsid w:val="00401855"/>
    <w:rsid w:val="004412B6"/>
    <w:rsid w:val="00442BD0"/>
    <w:rsid w:val="0045769E"/>
    <w:rsid w:val="00465587"/>
    <w:rsid w:val="00477455"/>
    <w:rsid w:val="004826ED"/>
    <w:rsid w:val="004A1F7B"/>
    <w:rsid w:val="004C44D2"/>
    <w:rsid w:val="004D3578"/>
    <w:rsid w:val="004D380D"/>
    <w:rsid w:val="004E1478"/>
    <w:rsid w:val="004E213A"/>
    <w:rsid w:val="004F08BD"/>
    <w:rsid w:val="004F4540"/>
    <w:rsid w:val="004F73A7"/>
    <w:rsid w:val="00503171"/>
    <w:rsid w:val="005065E8"/>
    <w:rsid w:val="00506C28"/>
    <w:rsid w:val="00524460"/>
    <w:rsid w:val="00527990"/>
    <w:rsid w:val="00534DA0"/>
    <w:rsid w:val="00543E6C"/>
    <w:rsid w:val="005628F8"/>
    <w:rsid w:val="00565087"/>
    <w:rsid w:val="0056573F"/>
    <w:rsid w:val="00571279"/>
    <w:rsid w:val="005A49C6"/>
    <w:rsid w:val="005A5961"/>
    <w:rsid w:val="005D599E"/>
    <w:rsid w:val="00611566"/>
    <w:rsid w:val="006123CC"/>
    <w:rsid w:val="0061290B"/>
    <w:rsid w:val="00634C4F"/>
    <w:rsid w:val="00646181"/>
    <w:rsid w:val="00646D99"/>
    <w:rsid w:val="00651285"/>
    <w:rsid w:val="00656910"/>
    <w:rsid w:val="006574C0"/>
    <w:rsid w:val="0067620B"/>
    <w:rsid w:val="00681E65"/>
    <w:rsid w:val="00690C09"/>
    <w:rsid w:val="00696821"/>
    <w:rsid w:val="006A1E86"/>
    <w:rsid w:val="006B18BF"/>
    <w:rsid w:val="006B2191"/>
    <w:rsid w:val="006B4062"/>
    <w:rsid w:val="006C0A7A"/>
    <w:rsid w:val="006C4C94"/>
    <w:rsid w:val="006C66D8"/>
    <w:rsid w:val="006C7C91"/>
    <w:rsid w:val="006D1E24"/>
    <w:rsid w:val="006D35DE"/>
    <w:rsid w:val="006D6168"/>
    <w:rsid w:val="006E1057"/>
    <w:rsid w:val="006E1417"/>
    <w:rsid w:val="006F6A2C"/>
    <w:rsid w:val="007069DC"/>
    <w:rsid w:val="00710201"/>
    <w:rsid w:val="0072073A"/>
    <w:rsid w:val="00721359"/>
    <w:rsid w:val="007342B5"/>
    <w:rsid w:val="00734A5B"/>
    <w:rsid w:val="00743384"/>
    <w:rsid w:val="00744E76"/>
    <w:rsid w:val="007521D7"/>
    <w:rsid w:val="00757D40"/>
    <w:rsid w:val="007662B5"/>
    <w:rsid w:val="007760D7"/>
    <w:rsid w:val="00781F0F"/>
    <w:rsid w:val="00786707"/>
    <w:rsid w:val="0078727C"/>
    <w:rsid w:val="0079049D"/>
    <w:rsid w:val="00793234"/>
    <w:rsid w:val="00793DC5"/>
    <w:rsid w:val="00796823"/>
    <w:rsid w:val="007A2E55"/>
    <w:rsid w:val="007B18D8"/>
    <w:rsid w:val="007C095F"/>
    <w:rsid w:val="007C2DD0"/>
    <w:rsid w:val="007C562D"/>
    <w:rsid w:val="007D0CFF"/>
    <w:rsid w:val="007E3767"/>
    <w:rsid w:val="007F2E08"/>
    <w:rsid w:val="008028A4"/>
    <w:rsid w:val="00804819"/>
    <w:rsid w:val="00805B04"/>
    <w:rsid w:val="00813245"/>
    <w:rsid w:val="00840DE0"/>
    <w:rsid w:val="008607A8"/>
    <w:rsid w:val="0086354A"/>
    <w:rsid w:val="0087220E"/>
    <w:rsid w:val="008768CA"/>
    <w:rsid w:val="00877EF9"/>
    <w:rsid w:val="00880559"/>
    <w:rsid w:val="008A143B"/>
    <w:rsid w:val="008B5306"/>
    <w:rsid w:val="008C2E2A"/>
    <w:rsid w:val="008C3057"/>
    <w:rsid w:val="008D1DF4"/>
    <w:rsid w:val="008D2E4D"/>
    <w:rsid w:val="008E654D"/>
    <w:rsid w:val="008F396F"/>
    <w:rsid w:val="008F3DCD"/>
    <w:rsid w:val="0090271F"/>
    <w:rsid w:val="00902DB9"/>
    <w:rsid w:val="0090466A"/>
    <w:rsid w:val="00923655"/>
    <w:rsid w:val="00936071"/>
    <w:rsid w:val="009376CD"/>
    <w:rsid w:val="00940212"/>
    <w:rsid w:val="00942EC2"/>
    <w:rsid w:val="00961B32"/>
    <w:rsid w:val="00962509"/>
    <w:rsid w:val="00962EAA"/>
    <w:rsid w:val="00970DB3"/>
    <w:rsid w:val="00974BB0"/>
    <w:rsid w:val="00975BCD"/>
    <w:rsid w:val="009928A9"/>
    <w:rsid w:val="009A0AF3"/>
    <w:rsid w:val="009B07CD"/>
    <w:rsid w:val="009B2675"/>
    <w:rsid w:val="009C19E9"/>
    <w:rsid w:val="009D74A6"/>
    <w:rsid w:val="009E0E87"/>
    <w:rsid w:val="009F20DB"/>
    <w:rsid w:val="00A06431"/>
    <w:rsid w:val="00A10F02"/>
    <w:rsid w:val="00A204CA"/>
    <w:rsid w:val="00A209D6"/>
    <w:rsid w:val="00A20EB6"/>
    <w:rsid w:val="00A22738"/>
    <w:rsid w:val="00A430EC"/>
    <w:rsid w:val="00A53724"/>
    <w:rsid w:val="00A54B2B"/>
    <w:rsid w:val="00A815CD"/>
    <w:rsid w:val="00A82346"/>
    <w:rsid w:val="00A9671C"/>
    <w:rsid w:val="00A97959"/>
    <w:rsid w:val="00AA1553"/>
    <w:rsid w:val="00AE4E80"/>
    <w:rsid w:val="00AF71E4"/>
    <w:rsid w:val="00B05380"/>
    <w:rsid w:val="00B05962"/>
    <w:rsid w:val="00B149EB"/>
    <w:rsid w:val="00B15241"/>
    <w:rsid w:val="00B15449"/>
    <w:rsid w:val="00B16C2F"/>
    <w:rsid w:val="00B27303"/>
    <w:rsid w:val="00B47FD1"/>
    <w:rsid w:val="00B516BB"/>
    <w:rsid w:val="00B7538C"/>
    <w:rsid w:val="00B84DB2"/>
    <w:rsid w:val="00BC3555"/>
    <w:rsid w:val="00BD418B"/>
    <w:rsid w:val="00BF06C3"/>
    <w:rsid w:val="00BF1B06"/>
    <w:rsid w:val="00BF477C"/>
    <w:rsid w:val="00C10166"/>
    <w:rsid w:val="00C11A70"/>
    <w:rsid w:val="00C12B51"/>
    <w:rsid w:val="00C24650"/>
    <w:rsid w:val="00C25465"/>
    <w:rsid w:val="00C33079"/>
    <w:rsid w:val="00C37FFB"/>
    <w:rsid w:val="00C447F8"/>
    <w:rsid w:val="00C5459E"/>
    <w:rsid w:val="00C55A12"/>
    <w:rsid w:val="00C6553E"/>
    <w:rsid w:val="00C83A13"/>
    <w:rsid w:val="00C86F10"/>
    <w:rsid w:val="00C9068C"/>
    <w:rsid w:val="00C92967"/>
    <w:rsid w:val="00C954AA"/>
    <w:rsid w:val="00CA3D0C"/>
    <w:rsid w:val="00CA654B"/>
    <w:rsid w:val="00CB55CD"/>
    <w:rsid w:val="00CB72B8"/>
    <w:rsid w:val="00CC384A"/>
    <w:rsid w:val="00CD0BA8"/>
    <w:rsid w:val="00CD4C7B"/>
    <w:rsid w:val="00CD58FE"/>
    <w:rsid w:val="00CF172E"/>
    <w:rsid w:val="00CF49CC"/>
    <w:rsid w:val="00D23BB4"/>
    <w:rsid w:val="00D334A1"/>
    <w:rsid w:val="00D33BE3"/>
    <w:rsid w:val="00D3792D"/>
    <w:rsid w:val="00D41263"/>
    <w:rsid w:val="00D55E47"/>
    <w:rsid w:val="00D62E19"/>
    <w:rsid w:val="00D6753C"/>
    <w:rsid w:val="00D67CD1"/>
    <w:rsid w:val="00D738D6"/>
    <w:rsid w:val="00D80795"/>
    <w:rsid w:val="00D8467F"/>
    <w:rsid w:val="00D854BE"/>
    <w:rsid w:val="00D86647"/>
    <w:rsid w:val="00D8692F"/>
    <w:rsid w:val="00D87E00"/>
    <w:rsid w:val="00D9134D"/>
    <w:rsid w:val="00D96D11"/>
    <w:rsid w:val="00DA7A03"/>
    <w:rsid w:val="00DB0DB8"/>
    <w:rsid w:val="00DB1818"/>
    <w:rsid w:val="00DC08F8"/>
    <w:rsid w:val="00DC309B"/>
    <w:rsid w:val="00DC4DA2"/>
    <w:rsid w:val="00DC5261"/>
    <w:rsid w:val="00DD15AC"/>
    <w:rsid w:val="00DD4F24"/>
    <w:rsid w:val="00DE25D2"/>
    <w:rsid w:val="00E306FA"/>
    <w:rsid w:val="00E44EF8"/>
    <w:rsid w:val="00E46C08"/>
    <w:rsid w:val="00E471CF"/>
    <w:rsid w:val="00E62835"/>
    <w:rsid w:val="00E6504D"/>
    <w:rsid w:val="00E77645"/>
    <w:rsid w:val="00E83697"/>
    <w:rsid w:val="00E859B6"/>
    <w:rsid w:val="00E9320F"/>
    <w:rsid w:val="00EA66C9"/>
    <w:rsid w:val="00EB142E"/>
    <w:rsid w:val="00EC4A25"/>
    <w:rsid w:val="00EC7EA8"/>
    <w:rsid w:val="00ED219F"/>
    <w:rsid w:val="00EF612C"/>
    <w:rsid w:val="00F025A2"/>
    <w:rsid w:val="00F036E9"/>
    <w:rsid w:val="00F07388"/>
    <w:rsid w:val="00F2026E"/>
    <w:rsid w:val="00F2210A"/>
    <w:rsid w:val="00F264E3"/>
    <w:rsid w:val="00F31372"/>
    <w:rsid w:val="00F37743"/>
    <w:rsid w:val="00F52A4B"/>
    <w:rsid w:val="00F54A3D"/>
    <w:rsid w:val="00F54CB0"/>
    <w:rsid w:val="00F579CD"/>
    <w:rsid w:val="00F60289"/>
    <w:rsid w:val="00F653B8"/>
    <w:rsid w:val="00F71B89"/>
    <w:rsid w:val="00F7353C"/>
    <w:rsid w:val="00F76F8F"/>
    <w:rsid w:val="00F77359"/>
    <w:rsid w:val="00F941DF"/>
    <w:rsid w:val="00FA1266"/>
    <w:rsid w:val="00FA709D"/>
    <w:rsid w:val="00FB1759"/>
    <w:rsid w:val="00FB36FA"/>
    <w:rsid w:val="00FC1192"/>
    <w:rsid w:val="00FD01A6"/>
    <w:rsid w:val="00FE106D"/>
    <w:rsid w:val="00FE251B"/>
    <w:rsid w:val="00FF77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923357B-D487-483D-A150-682CCF59C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42C4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2C4C3A"/>
    <w:rPr>
      <w:sz w:val="16"/>
      <w:szCs w:val="16"/>
    </w:rPr>
  </w:style>
  <w:style w:type="paragraph" w:styleId="CommentText">
    <w:name w:val="annotation text"/>
    <w:basedOn w:val="Normal"/>
    <w:link w:val="CommentTextChar"/>
    <w:rsid w:val="002C4C3A"/>
  </w:style>
  <w:style w:type="character" w:customStyle="1" w:styleId="CommentTextChar">
    <w:name w:val="Comment Text Char"/>
    <w:basedOn w:val="DefaultParagraphFont"/>
    <w:link w:val="CommentText"/>
    <w:rsid w:val="002C4C3A"/>
    <w:rPr>
      <w:lang w:eastAsia="en-US"/>
    </w:rPr>
  </w:style>
  <w:style w:type="paragraph" w:styleId="CommentSubject">
    <w:name w:val="annotation subject"/>
    <w:basedOn w:val="CommentText"/>
    <w:next w:val="CommentText"/>
    <w:link w:val="CommentSubjectChar"/>
    <w:rsid w:val="002C4C3A"/>
    <w:rPr>
      <w:b/>
      <w:bCs/>
    </w:rPr>
  </w:style>
  <w:style w:type="character" w:customStyle="1" w:styleId="CommentSubjectChar">
    <w:name w:val="Comment Subject Char"/>
    <w:basedOn w:val="CommentTextChar"/>
    <w:link w:val="CommentSubject"/>
    <w:rsid w:val="002C4C3A"/>
    <w:rPr>
      <w:b/>
      <w:bCs/>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2C4C3A"/>
    <w:pPr>
      <w:spacing w:after="0"/>
      <w:ind w:left="720"/>
      <w:contextualSpacing/>
    </w:pPr>
    <w:rPr>
      <w:sz w:val="24"/>
      <w:szCs w:val="24"/>
      <w:lang w:val="en-US" w:eastAsia="zh-CN"/>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149EB"/>
    <w:rPr>
      <w:sz w:val="24"/>
      <w:szCs w:val="24"/>
      <w:lang w:val="en-US" w:eastAsia="zh-CN"/>
    </w:rPr>
  </w:style>
  <w:style w:type="paragraph" w:customStyle="1" w:styleId="Agreement">
    <w:name w:val="Agreement"/>
    <w:basedOn w:val="Normal"/>
    <w:next w:val="Normal"/>
    <w:uiPriority w:val="99"/>
    <w:qFormat/>
    <w:rsid w:val="00C11A70"/>
    <w:pPr>
      <w:numPr>
        <w:numId w:val="10"/>
      </w:numPr>
      <w:spacing w:before="60" w:after="0"/>
    </w:pPr>
    <w:rPr>
      <w:rFonts w:ascii="Arial" w:eastAsia="MS Mincho" w:hAnsi="Arial"/>
      <w:b/>
      <w:szCs w:val="24"/>
      <w:lang w:eastAsia="en-GB"/>
    </w:rPr>
  </w:style>
  <w:style w:type="character" w:customStyle="1" w:styleId="Heading2Char">
    <w:name w:val="Heading 2 Char"/>
    <w:basedOn w:val="DefaultParagraphFont"/>
    <w:link w:val="Heading2"/>
    <w:rsid w:val="001C2CA1"/>
    <w:rPr>
      <w:rFonts w:ascii="Arial" w:hAnsi="Arial"/>
      <w:sz w:val="32"/>
      <w:lang w:eastAsia="en-US"/>
    </w:rPr>
  </w:style>
  <w:style w:type="paragraph" w:styleId="Revision">
    <w:name w:val="Revision"/>
    <w:hidden/>
    <w:uiPriority w:val="99"/>
    <w:semiHidden/>
    <w:rsid w:val="00E932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08065">
      <w:bodyDiv w:val="1"/>
      <w:marLeft w:val="0"/>
      <w:marRight w:val="0"/>
      <w:marTop w:val="0"/>
      <w:marBottom w:val="0"/>
      <w:divBdr>
        <w:top w:val="none" w:sz="0" w:space="0" w:color="auto"/>
        <w:left w:val="none" w:sz="0" w:space="0" w:color="auto"/>
        <w:bottom w:val="none" w:sz="0" w:space="0" w:color="auto"/>
        <w:right w:val="none" w:sz="0" w:space="0" w:color="auto"/>
      </w:divBdr>
      <w:divsChild>
        <w:div w:id="545139745">
          <w:marLeft w:val="187"/>
          <w:marRight w:val="0"/>
          <w:marTop w:val="0"/>
          <w:marBottom w:val="0"/>
          <w:divBdr>
            <w:top w:val="none" w:sz="0" w:space="0" w:color="auto"/>
            <w:left w:val="none" w:sz="0" w:space="0" w:color="auto"/>
            <w:bottom w:val="none" w:sz="0" w:space="0" w:color="auto"/>
            <w:right w:val="none" w:sz="0" w:space="0" w:color="auto"/>
          </w:divBdr>
        </w:div>
      </w:divsChild>
    </w:div>
    <w:div w:id="668607320">
      <w:bodyDiv w:val="1"/>
      <w:marLeft w:val="0"/>
      <w:marRight w:val="0"/>
      <w:marTop w:val="0"/>
      <w:marBottom w:val="0"/>
      <w:divBdr>
        <w:top w:val="none" w:sz="0" w:space="0" w:color="auto"/>
        <w:left w:val="none" w:sz="0" w:space="0" w:color="auto"/>
        <w:bottom w:val="none" w:sz="0" w:space="0" w:color="auto"/>
        <w:right w:val="none" w:sz="0" w:space="0" w:color="auto"/>
      </w:divBdr>
      <w:divsChild>
        <w:div w:id="840319228">
          <w:marLeft w:val="2520"/>
          <w:marRight w:val="0"/>
          <w:marTop w:val="58"/>
          <w:marBottom w:val="0"/>
          <w:divBdr>
            <w:top w:val="none" w:sz="0" w:space="0" w:color="auto"/>
            <w:left w:val="none" w:sz="0" w:space="0" w:color="auto"/>
            <w:bottom w:val="none" w:sz="0" w:space="0" w:color="auto"/>
            <w:right w:val="none" w:sz="0" w:space="0" w:color="auto"/>
          </w:divBdr>
        </w:div>
        <w:div w:id="1867791898">
          <w:marLeft w:val="1800"/>
          <w:marRight w:val="0"/>
          <w:marTop w:val="58"/>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1098096">
      <w:bodyDiv w:val="1"/>
      <w:marLeft w:val="0"/>
      <w:marRight w:val="0"/>
      <w:marTop w:val="0"/>
      <w:marBottom w:val="0"/>
      <w:divBdr>
        <w:top w:val="none" w:sz="0" w:space="0" w:color="auto"/>
        <w:left w:val="none" w:sz="0" w:space="0" w:color="auto"/>
        <w:bottom w:val="none" w:sz="0" w:space="0" w:color="auto"/>
        <w:right w:val="none" w:sz="0" w:space="0" w:color="auto"/>
      </w:divBdr>
      <w:divsChild>
        <w:div w:id="666905350">
          <w:marLeft w:val="274"/>
          <w:marRight w:val="0"/>
          <w:marTop w:val="0"/>
          <w:marBottom w:val="0"/>
          <w:divBdr>
            <w:top w:val="none" w:sz="0" w:space="0" w:color="auto"/>
            <w:left w:val="none" w:sz="0" w:space="0" w:color="auto"/>
            <w:bottom w:val="none" w:sz="0" w:space="0" w:color="auto"/>
            <w:right w:val="none" w:sz="0" w:space="0" w:color="auto"/>
          </w:divBdr>
        </w:div>
        <w:div w:id="1505167836">
          <w:marLeft w:val="274"/>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82510675">
      <w:bodyDiv w:val="1"/>
      <w:marLeft w:val="0"/>
      <w:marRight w:val="0"/>
      <w:marTop w:val="0"/>
      <w:marBottom w:val="0"/>
      <w:divBdr>
        <w:top w:val="none" w:sz="0" w:space="0" w:color="auto"/>
        <w:left w:val="none" w:sz="0" w:space="0" w:color="auto"/>
        <w:bottom w:val="none" w:sz="0" w:space="0" w:color="auto"/>
        <w:right w:val="none" w:sz="0" w:space="0" w:color="auto"/>
      </w:divBdr>
      <w:divsChild>
        <w:div w:id="61101989">
          <w:marLeft w:val="720"/>
          <w:marRight w:val="0"/>
          <w:marTop w:val="0"/>
          <w:marBottom w:val="120"/>
          <w:divBdr>
            <w:top w:val="none" w:sz="0" w:space="0" w:color="auto"/>
            <w:left w:val="none" w:sz="0" w:space="0" w:color="auto"/>
            <w:bottom w:val="none" w:sz="0" w:space="0" w:color="auto"/>
            <w:right w:val="none" w:sz="0" w:space="0" w:color="auto"/>
          </w:divBdr>
        </w:div>
      </w:divsChild>
    </w:div>
    <w:div w:id="2086221175">
      <w:bodyDiv w:val="1"/>
      <w:marLeft w:val="0"/>
      <w:marRight w:val="0"/>
      <w:marTop w:val="0"/>
      <w:marBottom w:val="0"/>
      <w:divBdr>
        <w:top w:val="none" w:sz="0" w:space="0" w:color="auto"/>
        <w:left w:val="none" w:sz="0" w:space="0" w:color="auto"/>
        <w:bottom w:val="none" w:sz="0" w:space="0" w:color="auto"/>
        <w:right w:val="none" w:sz="0" w:space="0" w:color="auto"/>
      </w:divBdr>
      <w:divsChild>
        <w:div w:id="1946691960">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5AIRPNAIUNRU-859666464-8844</_dlc_DocId>
    <_dlc_DocIdUrl xmlns="71c5aaf6-e6ce-465b-b873-5148d2a4c105">
      <Url>https://nokia.sharepoint.com/sites/c5g/e2earch/_layouts/15/DocIdRedir.aspx?ID=5AIRPNAIUNRU-859666464-8844</Url>
      <Description>5AIRPNAIUNRU-859666464-8844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5</Pages>
  <Words>2146</Words>
  <Characters>12237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Nokia_Ping Yuan</cp:lastModifiedBy>
  <cp:revision>194</cp:revision>
  <dcterms:created xsi:type="dcterms:W3CDTF">2016-08-12T18:53:00Z</dcterms:created>
  <dcterms:modified xsi:type="dcterms:W3CDTF">2021-05-11T04:57:00Z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07b0898e-779f-4b7b-a2bb-2d567eefcd48</vt:lpwstr>
  </property>
</Properties>
</file>